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226.htm"/>
      <w:bookmarkStart w:id="1" w:name="ksf8k_081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13, 2026</w:t>
      </w:r>
    </w:p>
    <w:p>
      <w:pPr>
        <w:pStyle w:val="TextBody"/>
        <w:bidi w:val="0"/>
        <w:jc w:val="center"/>
        <w:rPr/>
      </w:pPr>
      <w:r>
        <w:rPr/>
        <w:t>_______________________________</w:t>
      </w:r>
    </w:p>
    <w:p>
      <w:pPr>
        <w:pStyle w:val="TextBody"/>
        <w:bidi w:val="0"/>
        <w:spacing w:before="120" w:after="283"/>
        <w:jc w:val="center"/>
        <w:rPr>
          <w:b/>
          <w:sz w:val="24"/>
        </w:rPr>
      </w:pPr>
      <w:r>
        <w:rPr>
          <w:b/>
          <w:sz w:val="24"/>
        </w:rPr>
        <w:t>AEBI SCHMIDT HOLDING AG</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Switzerland</w:t>
            </w:r>
          </w:p>
        </w:tc>
        <w:tc>
          <w:tcPr>
            <w:tcW w:w="2210" w:type="dxa"/>
            <w:tcBorders/>
            <w:vAlign w:val="center"/>
          </w:tcPr>
          <w:p>
            <w:pPr>
              <w:pStyle w:val="TableContents"/>
              <w:bidi w:val="0"/>
              <w:spacing w:before="0" w:after="283"/>
              <w:jc w:val="center"/>
              <w:rPr>
                <w:b/>
                <w:sz w:val="20"/>
              </w:rPr>
            </w:pPr>
            <w:r>
              <w:rPr>
                <w:b/>
                <w:sz w:val="20"/>
              </w:rPr>
              <w:t>001-42663</w:t>
            </w:r>
          </w:p>
        </w:tc>
        <w:tc>
          <w:tcPr>
            <w:tcW w:w="2900" w:type="dxa"/>
            <w:tcBorders/>
            <w:vAlign w:val="center"/>
          </w:tcPr>
          <w:p>
            <w:pPr>
              <w:pStyle w:val="TableContents"/>
              <w:bidi w:val="0"/>
              <w:spacing w:before="0" w:after="283"/>
              <w:jc w:val="center"/>
              <w:rPr>
                <w:b/>
                <w:sz w:val="20"/>
              </w:rPr>
            </w:pPr>
            <w:r>
              <w:rPr>
                <w:b/>
                <w:sz w:val="20"/>
              </w:rPr>
              <w:t>Not Applicable</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Schulstrasse 4</w:t>
      </w:r>
    </w:p>
    <w:p>
      <w:pPr>
        <w:pStyle w:val="TextBody"/>
        <w:bidi w:val="0"/>
        <w:spacing w:before="0" w:after="0"/>
        <w:jc w:val="center"/>
        <w:rPr>
          <w:b/>
          <w:sz w:val="20"/>
        </w:rPr>
      </w:pPr>
      <w:r>
        <w:rPr>
          <w:b/>
          <w:sz w:val="20"/>
        </w:rPr>
        <w:t>Frauenfeld, Switzerland CH-8500</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 44-308-5800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AEBI</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On August 13, 2026, Aebi Schmidt Holding AG (“Aebi Schmidt”) issued a press release announcing its financial results for the quarter ended June 30, 2026. A copy of the Press Release is being furnished as Exhibit 99.1 to this Current Report on Form 8-K.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information contained in this Item 2.02 and Exhibit 99.1, attached hereto, shall not be deemed “filed” for purposes of Section 18 of the Securities Exchange Act of 1934, as amended (the “Exchange Act”), and shall not be deemed incorporated by reference in any filing with the Securities and Exchange Commission under the Exchange Act or the Securities Act of 1933, as amended, whether made before or after the date hereof and irrespective of any general incorporation language in any filings.</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0"/>
        <w:jc w:val="left"/>
        <w:rPr>
          <w:sz w:val="20"/>
        </w:rPr>
      </w:pPr>
      <w:r>
        <w:rPr>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exhibits are filed herewith:</w:t>
      </w:r>
    </w:p>
    <w:p>
      <w:pPr>
        <w:pStyle w:val="TextBody"/>
        <w:bidi w:val="0"/>
        <w:spacing w:before="0" w:after="283"/>
        <w:jc w:val="left"/>
        <w:rPr/>
      </w:pPr>
      <w:r>
        <w:rPr/>
        <w:t> </w:t>
      </w:r>
    </w:p>
    <w:tbl>
      <w:tblPr>
        <w:tblW w:w="9955" w:type="dxa"/>
        <w:jc w:val="left"/>
        <w:tblInd w:w="0" w:type="dxa"/>
        <w:tblLayout w:type="fixed"/>
        <w:tblCellMar>
          <w:top w:w="0" w:type="dxa"/>
          <w:left w:w="0" w:type="dxa"/>
          <w:bottom w:w="0" w:type="dxa"/>
          <w:right w:w="0" w:type="dxa"/>
        </w:tblCellMar>
      </w:tblPr>
      <w:tblGrid>
        <w:gridCol w:w="980"/>
        <w:gridCol w:w="60"/>
        <w:gridCol w:w="8915"/>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pPr>
            <w:hyperlink w:anchor="exh_991.htm">
              <w:r>
                <w:rPr>
                  <w:rStyle w:val="InternetLink"/>
                  <w:sz w:val="20"/>
                </w:rPr>
                <w:t>Press Release dated August 13,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as amended, Aebi Schmidt Holding AG has duly caused this report to be signed on its behalf by the undersigned hereunto duly authorized.</w:t>
      </w:r>
    </w:p>
    <w:tbl>
      <w:tblPr>
        <w:tblW w:w="4614" w:type="dxa"/>
        <w:jc w:val="left"/>
        <w:tblInd w:w="0" w:type="dxa"/>
        <w:tblLayout w:type="fixed"/>
        <w:tblCellMar>
          <w:top w:w="0" w:type="dxa"/>
          <w:left w:w="0" w:type="dxa"/>
          <w:bottom w:w="0" w:type="dxa"/>
          <w:right w:w="0" w:type="dxa"/>
        </w:tblCellMar>
      </w:tblPr>
      <w:tblGrid>
        <w:gridCol w:w="1850"/>
        <w:gridCol w:w="637"/>
        <w:gridCol w:w="2127"/>
      </w:tblGrid>
      <w:tr>
        <w:trPr/>
        <w:tc>
          <w:tcPr>
            <w:tcW w:w="185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sz w:val="20"/>
              </w:rPr>
            </w:pPr>
            <w:r>
              <w:rPr>
                <w:b/>
                <w:sz w:val="20"/>
              </w:rPr>
              <w:t>AEBI SCHMIDT HOLDING AG</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13, 2026</w:t>
            </w:r>
          </w:p>
        </w:tc>
        <w:tc>
          <w:tcPr>
            <w:tcW w:w="637" w:type="dxa"/>
            <w:tcBorders/>
            <w:vAlign w:val="center"/>
          </w:tcPr>
          <w:p>
            <w:pPr>
              <w:pStyle w:val="TableContents"/>
              <w:bidi w:val="0"/>
              <w:spacing w:before="0" w:after="283"/>
              <w:jc w:val="left"/>
              <w:rPr>
                <w:sz w:val="20"/>
              </w:rPr>
            </w:pPr>
            <w:r>
              <w:rPr>
                <w:sz w:val="20"/>
              </w:rPr>
              <w:t>By: </w:t>
            </w:r>
          </w:p>
        </w:tc>
        <w:tc>
          <w:tcPr>
            <w:tcW w:w="2127" w:type="dxa"/>
            <w:tcBorders/>
            <w:vAlign w:val="center"/>
          </w:tcPr>
          <w:p>
            <w:pPr>
              <w:pStyle w:val="TableContents"/>
              <w:bidi w:val="0"/>
              <w:spacing w:before="0" w:after="283"/>
              <w:jc w:val="left"/>
              <w:rPr>
                <w:sz w:val="20"/>
                <w:u w:val="single"/>
              </w:rPr>
            </w:pPr>
            <w:r>
              <w:rPr>
                <w:sz w:val="20"/>
                <w:u w:val="single"/>
              </w:rPr>
              <w:t>/s/ Barend Fruithof        </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Name: </w:t>
            </w:r>
          </w:p>
        </w:tc>
        <w:tc>
          <w:tcPr>
            <w:tcW w:w="2127" w:type="dxa"/>
            <w:tcBorders/>
            <w:vAlign w:val="center"/>
          </w:tcPr>
          <w:p>
            <w:pPr>
              <w:pStyle w:val="TableContents"/>
              <w:bidi w:val="0"/>
              <w:spacing w:before="0" w:after="283"/>
              <w:jc w:val="left"/>
              <w:rPr>
                <w:sz w:val="20"/>
              </w:rPr>
            </w:pPr>
            <w:r>
              <w:rPr>
                <w:sz w:val="20"/>
              </w:rPr>
              <w:t>Barend Fruithof</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Title: </w:t>
            </w:r>
          </w:p>
        </w:tc>
        <w:tc>
          <w:tcPr>
            <w:tcW w:w="2127" w:type="dxa"/>
            <w:tcBorders/>
            <w:vAlign w:val="center"/>
          </w:tcPr>
          <w:p>
            <w:pPr>
              <w:pStyle w:val="TableContents"/>
              <w:bidi w:val="0"/>
              <w:spacing w:before="0" w:after="283"/>
              <w:jc w:val="left"/>
              <w:rPr>
                <w:sz w:val="20"/>
              </w:rPr>
            </w:pPr>
            <w:r>
              <w:rPr>
                <w:sz w:val="20"/>
              </w:rPr>
              <w:t>Group CEO</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13, 2026</w:t>
            </w:r>
          </w:p>
        </w:tc>
        <w:tc>
          <w:tcPr>
            <w:tcW w:w="637" w:type="dxa"/>
            <w:tcBorders/>
            <w:vAlign w:val="center"/>
          </w:tcPr>
          <w:p>
            <w:pPr>
              <w:pStyle w:val="TableContents"/>
              <w:bidi w:val="0"/>
              <w:spacing w:before="0" w:after="283"/>
              <w:jc w:val="left"/>
              <w:rPr>
                <w:sz w:val="20"/>
              </w:rPr>
            </w:pPr>
            <w:r>
              <w:rPr>
                <w:sz w:val="20"/>
              </w:rPr>
              <w:t>By: </w:t>
            </w:r>
          </w:p>
        </w:tc>
        <w:tc>
          <w:tcPr>
            <w:tcW w:w="2127" w:type="dxa"/>
            <w:tcBorders/>
            <w:vAlign w:val="center"/>
          </w:tcPr>
          <w:p>
            <w:pPr>
              <w:pStyle w:val="TableContents"/>
              <w:bidi w:val="0"/>
              <w:spacing w:before="0" w:after="283"/>
              <w:jc w:val="left"/>
              <w:rPr>
                <w:sz w:val="20"/>
                <w:u w:val="single"/>
              </w:rPr>
            </w:pPr>
            <w:r>
              <w:rPr>
                <w:sz w:val="20"/>
                <w:u w:val="single"/>
              </w:rPr>
              <w:t>/s/ Marco Portmann        </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Name: </w:t>
            </w:r>
          </w:p>
        </w:tc>
        <w:tc>
          <w:tcPr>
            <w:tcW w:w="2127" w:type="dxa"/>
            <w:tcBorders/>
            <w:vAlign w:val="center"/>
          </w:tcPr>
          <w:p>
            <w:pPr>
              <w:pStyle w:val="TableContents"/>
              <w:bidi w:val="0"/>
              <w:spacing w:before="0" w:after="283"/>
              <w:jc w:val="left"/>
              <w:rPr>
                <w:sz w:val="20"/>
              </w:rPr>
            </w:pPr>
            <w:r>
              <w:rPr>
                <w:sz w:val="20"/>
              </w:rPr>
              <w:t>Marco Portmann</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sz w:val="20"/>
              </w:rPr>
            </w:pPr>
            <w:r>
              <w:rPr>
                <w:sz w:val="20"/>
              </w:rPr>
              <w:t>Title: </w:t>
            </w:r>
          </w:p>
        </w:tc>
        <w:tc>
          <w:tcPr>
            <w:tcW w:w="2127" w:type="dxa"/>
            <w:tcBorders/>
            <w:vAlign w:val="center"/>
          </w:tcPr>
          <w:p>
            <w:pPr>
              <w:pStyle w:val="TableContents"/>
              <w:bidi w:val="0"/>
              <w:spacing w:before="0" w:after="283"/>
              <w:jc w:val="left"/>
              <w:rPr>
                <w:sz w:val="20"/>
              </w:rPr>
            </w:pPr>
            <w:r>
              <w:rPr>
                <w:sz w:val="20"/>
              </w:rPr>
              <w:t>Group CFO</w:t>
            </w:r>
          </w:p>
        </w:tc>
      </w:tr>
      <w:tr>
        <w:trPr/>
        <w:tc>
          <w:tcPr>
            <w:tcW w:w="185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21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Aebi Schmidt Group Reports 22% Increase in Adjusted EBITDA, 16% Growth in Order Intake and 9% Increase in Net Sales, Reflecting Strong Order Momentum and Over-Proportional Profitability Improvement</w:t>
      </w:r>
    </w:p>
    <w:p>
      <w:pPr>
        <w:pStyle w:val="TextBody"/>
        <w:numPr>
          <w:ilvl w:val="0"/>
          <w:numId w:val="2"/>
        </w:numPr>
        <w:tabs>
          <w:tab w:val="clear" w:pos="1134"/>
          <w:tab w:val="left" w:pos="709" w:leader="none"/>
        </w:tabs>
        <w:bidi w:val="0"/>
        <w:spacing w:before="0" w:after="0"/>
        <w:ind w:left="709" w:hanging="283"/>
        <w:jc w:val="both"/>
        <w:rPr/>
      </w:pPr>
      <w:r>
        <w:rPr/>
        <w:t>Continued strong order momentum, with Q2 2026 Order Intake of $516m, up 16% vs Q2 2025 and Order Backlog of $1,279m expanding 20% vs Q2 2025</w:t>
      </w:r>
    </w:p>
    <w:p>
      <w:pPr>
        <w:pStyle w:val="TextBody"/>
        <w:numPr>
          <w:ilvl w:val="0"/>
          <w:numId w:val="2"/>
        </w:numPr>
        <w:tabs>
          <w:tab w:val="clear" w:pos="1134"/>
          <w:tab w:val="left" w:pos="709" w:leader="none"/>
        </w:tabs>
        <w:bidi w:val="0"/>
        <w:spacing w:before="0" w:after="0"/>
        <w:ind w:left="709" w:hanging="283"/>
        <w:jc w:val="both"/>
        <w:rPr/>
      </w:pPr>
      <w:r>
        <w:rPr/>
        <w:t>Net Sales of $496m in Q2 2026, up 9% vs Q2 2025, with Order Backlog beginning to translate into higher Net Sales, largely attributable to execution of operational improvements and expanded market footprint</w:t>
      </w:r>
    </w:p>
    <w:p>
      <w:pPr>
        <w:pStyle w:val="TextBody"/>
        <w:numPr>
          <w:ilvl w:val="0"/>
          <w:numId w:val="2"/>
        </w:numPr>
        <w:tabs>
          <w:tab w:val="clear" w:pos="1134"/>
          <w:tab w:val="left" w:pos="709" w:leader="none"/>
        </w:tabs>
        <w:bidi w:val="0"/>
        <w:spacing w:before="0" w:after="0"/>
        <w:ind w:left="709" w:hanging="283"/>
        <w:jc w:val="both"/>
        <w:rPr/>
      </w:pPr>
      <w:r>
        <w:rPr/>
        <w:t>Net Income of $10.5m in Q2 2026, up $18m vs Q2 2025</w:t>
      </w:r>
    </w:p>
    <w:p>
      <w:pPr>
        <w:pStyle w:val="TextBody"/>
        <w:numPr>
          <w:ilvl w:val="0"/>
          <w:numId w:val="2"/>
        </w:numPr>
        <w:tabs>
          <w:tab w:val="clear" w:pos="1134"/>
          <w:tab w:val="left" w:pos="709" w:leader="none"/>
        </w:tabs>
        <w:bidi w:val="0"/>
        <w:spacing w:before="0" w:after="0"/>
        <w:ind w:left="709" w:hanging="283"/>
        <w:jc w:val="both"/>
        <w:rPr/>
      </w:pPr>
      <w:r>
        <w:rPr/>
        <w:t>Adjusted EBITDA</w:t>
      </w:r>
      <w:r>
        <w:rPr>
          <w:position w:val="8"/>
          <w:sz w:val="19"/>
        </w:rPr>
        <w:t>1</w:t>
      </w:r>
      <w:r>
        <w:rPr/>
        <w:t xml:space="preserve"> of $42.1m in Q2 2026, up 22% vs Q2 2025, representing 8.5% of Net Sales, with Adjusted EBITDA increasing over-proportionally vs Net Sales growth, driven by realized synergies, and efficiency improvements from operational ramp-up</w:t>
      </w:r>
    </w:p>
    <w:p>
      <w:pPr>
        <w:pStyle w:val="TextBody"/>
        <w:numPr>
          <w:ilvl w:val="0"/>
          <w:numId w:val="2"/>
        </w:numPr>
        <w:tabs>
          <w:tab w:val="clear" w:pos="1134"/>
          <w:tab w:val="left" w:pos="709" w:leader="none"/>
        </w:tabs>
        <w:bidi w:val="0"/>
        <w:ind w:left="709" w:hanging="283"/>
        <w:jc w:val="both"/>
        <w:rPr/>
      </w:pPr>
      <w:r>
        <w:rPr/>
        <w:t>Aebi Schmidt Group confirms full-year 2026 guidance</w:t>
      </w:r>
      <w:r>
        <w:rPr>
          <w:position w:val="8"/>
          <w:sz w:val="19"/>
        </w:rPr>
        <w:t>3</w:t>
      </w:r>
      <w:r>
        <w:rPr/>
        <w:t xml:space="preserve"> of Net Sales of $1.95b to $2.15b and Adjusted EBITDA</w:t>
      </w:r>
      <w:r>
        <w:rPr>
          <w:position w:val="8"/>
          <w:sz w:val="19"/>
        </w:rPr>
        <w:t>1</w:t>
      </w:r>
      <w:r>
        <w:rPr/>
        <w:t xml:space="preserve"> of $175m to $195m, supported by strong order momentum, continued commercial execution and ongoing operational improvements</w:t>
      </w:r>
    </w:p>
    <w:p>
      <w:pPr>
        <w:pStyle w:val="TextBody"/>
        <w:bidi w:val="0"/>
        <w:jc w:val="both"/>
        <w:rPr/>
      </w:pPr>
      <w:r>
        <w:rPr/>
        <w:t xml:space="preserve">FRAUENFELD, Switzerland, Aug. 13, 2026 (GLOBE NEWSWIRE) -- </w:t>
      </w:r>
      <w:r>
        <w:rPr>
          <w:rStyle w:val="StrongEmphasis"/>
        </w:rPr>
        <w:t>Aebi Schmidt Group (NASDAQ: AEBI) (“Aebi Schmidt”, the “Group”, or the “Company”), a world-class specialty vehicles leader, reports strong order momentum, net sales growth and increased profitability.</w:t>
      </w:r>
    </w:p>
    <w:p>
      <w:pPr>
        <w:pStyle w:val="TextBody"/>
        <w:bidi w:val="0"/>
        <w:jc w:val="both"/>
        <w:rPr/>
      </w:pPr>
      <w:r>
        <w:rPr/>
        <w:t>"Aebi Schmidt delivered an excellent second quarter, marked by a significant improvement in profitability," said Barend Fruithof, Chairman and Group CEO of Aebi Schmidt. "Adjusted EBITDA increased 22%, over-proportionally to an already strong 9% growth in Net Sales, reflecting the execution of operational initiatives."</w:t>
      </w:r>
    </w:p>
    <w:p>
      <w:pPr>
        <w:pStyle w:val="TextBody"/>
        <w:bidi w:val="0"/>
        <w:spacing w:before="0" w:after="283"/>
        <w:jc w:val="left"/>
        <w:rPr/>
      </w:pPr>
      <w:r>
        <w:rPr>
          <w:rStyle w:val="StrongEmphasis"/>
        </w:rPr>
        <w:t>Second Quarter</w:t>
      </w:r>
      <w:r>
        <w:rPr>
          <w:rStyle w:val="StrongEmphasis"/>
          <w:position w:val="8"/>
          <w:sz w:val="19"/>
        </w:rPr>
        <w:t>2</w:t>
      </w:r>
      <w:r>
        <w:rPr>
          <w:rStyle w:val="StrongEmphasis"/>
        </w:rPr>
        <w:t xml:space="preserve"> 2026 Financial Results</w:t>
      </w:r>
    </w:p>
    <w:p>
      <w:pPr>
        <w:pStyle w:val="TextBody"/>
        <w:numPr>
          <w:ilvl w:val="0"/>
          <w:numId w:val="3"/>
        </w:numPr>
        <w:tabs>
          <w:tab w:val="clear" w:pos="1134"/>
          <w:tab w:val="left" w:pos="709" w:leader="none"/>
        </w:tabs>
        <w:bidi w:val="0"/>
        <w:spacing w:before="100" w:after="283"/>
        <w:ind w:left="709" w:hanging="283"/>
        <w:jc w:val="both"/>
        <w:rPr/>
      </w:pPr>
      <w:r>
        <w:rPr/>
        <w:t>Q2 2026 Order Intake increased 16% vs Q2 2025, supported by Airport, Walk-in Van, Municipal and a large Truck Body order</w:t>
      </w:r>
    </w:p>
    <w:p>
      <w:pPr>
        <w:pStyle w:val="TextBody"/>
        <w:numPr>
          <w:ilvl w:val="0"/>
          <w:numId w:val="3"/>
        </w:numPr>
        <w:tabs>
          <w:tab w:val="clear" w:pos="1134"/>
          <w:tab w:val="left" w:pos="709" w:leader="none"/>
        </w:tabs>
        <w:bidi w:val="0"/>
        <w:spacing w:before="100" w:after="283"/>
        <w:ind w:left="709" w:hanging="283"/>
        <w:jc w:val="both"/>
        <w:rPr/>
      </w:pPr>
      <w:r>
        <w:rPr/>
        <w:t>June 30, 2026, Order Backlog grew 20% to $1,279m vs June 30, 2025, providing visibility into expected growth for the remainder of 2026 and beyond</w:t>
      </w:r>
    </w:p>
    <w:p>
      <w:pPr>
        <w:pStyle w:val="TextBody"/>
        <w:numPr>
          <w:ilvl w:val="0"/>
          <w:numId w:val="3"/>
        </w:numPr>
        <w:tabs>
          <w:tab w:val="clear" w:pos="1134"/>
          <w:tab w:val="left" w:pos="709" w:leader="none"/>
        </w:tabs>
        <w:bidi w:val="0"/>
        <w:spacing w:before="100" w:after="283"/>
        <w:ind w:left="709" w:hanging="283"/>
        <w:jc w:val="both"/>
        <w:rPr/>
      </w:pPr>
      <w:r>
        <w:rPr/>
        <w:t xml:space="preserve">Net Sales of $496m, a 9% increase vs Q2 2025, driven by strengthening market footprint, sales excellence improvement programs and solid execution across key end markets </w:t>
      </w:r>
    </w:p>
    <w:p>
      <w:pPr>
        <w:pStyle w:val="TextBody"/>
        <w:numPr>
          <w:ilvl w:val="1"/>
          <w:numId w:val="3"/>
        </w:numPr>
        <w:tabs>
          <w:tab w:val="clear" w:pos="1134"/>
          <w:tab w:val="left" w:pos="1418" w:leader="none"/>
        </w:tabs>
        <w:bidi w:val="0"/>
        <w:spacing w:before="100" w:after="283"/>
        <w:ind w:left="1418" w:hanging="283"/>
        <w:jc w:val="both"/>
        <w:rPr/>
      </w:pPr>
      <w:r>
        <w:rPr/>
        <w:t>North America Net Sales with substantial organic growth of 11% vs Q2 2025 driven by successful Walk-in Van backlog conversion following completion of production ramp-up, together with continued strength in Airport and Municipal</w:t>
      </w:r>
    </w:p>
    <w:p>
      <w:pPr>
        <w:pStyle w:val="TextBody"/>
        <w:numPr>
          <w:ilvl w:val="1"/>
          <w:numId w:val="3"/>
        </w:numPr>
        <w:tabs>
          <w:tab w:val="clear" w:pos="1134"/>
          <w:tab w:val="left" w:pos="1418" w:leader="none"/>
        </w:tabs>
        <w:bidi w:val="0"/>
        <w:spacing w:before="100" w:after="283"/>
        <w:ind w:left="1418" w:hanging="283"/>
        <w:jc w:val="both"/>
        <w:rPr/>
      </w:pPr>
      <w:r>
        <w:rPr/>
        <w:t>Europe and RoW with solid 7% year-over-year growth, driven by continued sales execution and healthy underlying demand</w:t>
      </w:r>
    </w:p>
    <w:p>
      <w:pPr>
        <w:pStyle w:val="TextBody"/>
        <w:numPr>
          <w:ilvl w:val="0"/>
          <w:numId w:val="3"/>
        </w:numPr>
        <w:tabs>
          <w:tab w:val="clear" w:pos="1134"/>
          <w:tab w:val="left" w:pos="709" w:leader="none"/>
        </w:tabs>
        <w:bidi w:val="0"/>
        <w:spacing w:before="100" w:after="283"/>
        <w:ind w:left="709" w:hanging="283"/>
        <w:jc w:val="both"/>
        <w:rPr/>
      </w:pPr>
      <w:r>
        <w:rPr/>
        <w:t>Q2 2026 Net Income of $10.5m from a loss of $7.9m in Q2 2025</w:t>
      </w:r>
    </w:p>
    <w:p>
      <w:pPr>
        <w:pStyle w:val="TextBody"/>
        <w:numPr>
          <w:ilvl w:val="0"/>
          <w:numId w:val="3"/>
        </w:numPr>
        <w:tabs>
          <w:tab w:val="clear" w:pos="1134"/>
          <w:tab w:val="left" w:pos="709" w:leader="none"/>
        </w:tabs>
        <w:bidi w:val="0"/>
        <w:spacing w:before="100" w:after="283"/>
        <w:ind w:left="709" w:hanging="283"/>
        <w:jc w:val="both"/>
        <w:rPr/>
      </w:pPr>
      <w:r>
        <w:rPr/>
        <w:t>Adjusted EBITDA</w:t>
      </w:r>
      <w:r>
        <w:rPr>
          <w:position w:val="8"/>
          <w:sz w:val="19"/>
        </w:rPr>
        <w:t>1</w:t>
      </w:r>
      <w:r>
        <w:rPr/>
        <w:t xml:space="preserve"> in Q2 2026 of $42.1m, a 22% increase vs Q2 2025, sustaining strong momentum toward our 2026 Adjusted EBITDA</w:t>
      </w:r>
      <w:r>
        <w:rPr>
          <w:position w:val="8"/>
          <w:sz w:val="19"/>
        </w:rPr>
        <w:t>1</w:t>
      </w:r>
      <w:r>
        <w:rPr/>
        <w:t xml:space="preserve"> guidance</w:t>
      </w:r>
      <w:r>
        <w:rPr>
          <w:position w:val="8"/>
          <w:sz w:val="19"/>
        </w:rPr>
        <w:t>3</w:t>
      </w:r>
      <w:r>
        <w:rPr/>
        <w:t xml:space="preserve"> </w:t>
      </w:r>
    </w:p>
    <w:p>
      <w:pPr>
        <w:pStyle w:val="TextBody"/>
        <w:numPr>
          <w:ilvl w:val="1"/>
          <w:numId w:val="3"/>
        </w:numPr>
        <w:tabs>
          <w:tab w:val="clear" w:pos="1134"/>
          <w:tab w:val="left" w:pos="1418" w:leader="none"/>
        </w:tabs>
        <w:bidi w:val="0"/>
        <w:spacing w:before="100" w:after="283"/>
        <w:ind w:left="1418" w:hanging="283"/>
        <w:jc w:val="both"/>
        <w:rPr/>
      </w:pPr>
      <w:r>
        <w:rPr/>
        <w:t>North America Adjusted EBITDA of $35.5m, an increase of $6.3m or 22% vs prior year quarter, reflecting completed Walk-in Van production ramp-up and strong contributions from Service Bodies and Airport</w:t>
      </w:r>
    </w:p>
    <w:p>
      <w:pPr>
        <w:pStyle w:val="TextBody"/>
        <w:numPr>
          <w:ilvl w:val="1"/>
          <w:numId w:val="3"/>
        </w:numPr>
        <w:tabs>
          <w:tab w:val="clear" w:pos="1134"/>
          <w:tab w:val="left" w:pos="1418" w:leader="none"/>
        </w:tabs>
        <w:bidi w:val="0"/>
        <w:spacing w:before="100" w:after="283"/>
        <w:ind w:left="1418" w:hanging="283"/>
        <w:jc w:val="both"/>
        <w:rPr/>
      </w:pPr>
      <w:r>
        <w:rPr/>
        <w:t>Europe and RoW delivering another strong quarter, with Adjusted EBITDA of $6.6m, an increase of $1.3m or 25% vs prior year quarter, driven by higher gross margins in both new equipment and aftermarket, together with strong cost discipline</w:t>
      </w:r>
    </w:p>
    <w:p>
      <w:pPr>
        <w:pStyle w:val="TextBody"/>
        <w:bidi w:val="0"/>
        <w:jc w:val="both"/>
        <w:rPr/>
      </w:pPr>
      <w:r>
        <w:rPr/>
        <w:t>“</w:t>
      </w:r>
      <w:r>
        <w:rPr/>
        <w:t>The Group upheld its strong momentum in the second quarter, driven by Airport, Walk-in Van and Municipal,” commented Marco Portmann, Group CFO. “We expect continued strong revenue conversion in the back half of the year, with revenue increasing sequentially through the rest of the year.”</w:t>
      </w:r>
    </w:p>
    <w:p>
      <w:pPr>
        <w:pStyle w:val="TextBody"/>
        <w:numPr>
          <w:ilvl w:val="0"/>
          <w:numId w:val="4"/>
        </w:numPr>
        <w:tabs>
          <w:tab w:val="clear" w:pos="1134"/>
          <w:tab w:val="left" w:pos="709" w:leader="none"/>
        </w:tabs>
        <w:bidi w:val="0"/>
        <w:spacing w:before="100" w:after="283"/>
        <w:ind w:left="709" w:hanging="283"/>
        <w:jc w:val="both"/>
        <w:rPr/>
      </w:pPr>
      <w:r>
        <w:rPr/>
        <w:t>Net Working Capital</w:t>
      </w:r>
      <w:r>
        <w:rPr>
          <w:position w:val="8"/>
          <w:sz w:val="19"/>
        </w:rPr>
        <w:t>1</w:t>
      </w:r>
      <w:r>
        <w:rPr/>
        <w:t xml:space="preserve"> improved to $449m at the end of Q2 2026, down 4% or $17m vs the end of Q2 2025 despite continued strong sales growth, reflecting structural efficiency gains</w:t>
      </w:r>
    </w:p>
    <w:p>
      <w:pPr>
        <w:pStyle w:val="TextBody"/>
        <w:numPr>
          <w:ilvl w:val="0"/>
          <w:numId w:val="4"/>
        </w:numPr>
        <w:tabs>
          <w:tab w:val="clear" w:pos="1134"/>
          <w:tab w:val="left" w:pos="709" w:leader="none"/>
        </w:tabs>
        <w:bidi w:val="0"/>
        <w:spacing w:before="100" w:after="283"/>
        <w:ind w:left="709" w:hanging="283"/>
        <w:jc w:val="both"/>
        <w:rPr/>
      </w:pPr>
      <w:r>
        <w:rPr/>
        <w:t>Net Debt</w:t>
      </w:r>
      <w:r>
        <w:rPr>
          <w:position w:val="8"/>
          <w:sz w:val="19"/>
        </w:rPr>
        <w:t>1</w:t>
      </w:r>
      <w:r>
        <w:rPr/>
        <w:t xml:space="preserve"> of $450m at the end of Q2 2026, decreasing $5m since the end of Q1 2026. Leverage</w:t>
      </w:r>
      <w:r>
        <w:rPr>
          <w:position w:val="8"/>
          <w:sz w:val="19"/>
        </w:rPr>
        <w:t>1</w:t>
      </w:r>
      <w:r>
        <w:rPr/>
        <w:t xml:space="preserve"> at 2.72x at the end of Q2 2026 vs 3.28x at the end of Q2 2025</w:t>
      </w:r>
    </w:p>
    <w:p>
      <w:pPr>
        <w:pStyle w:val="TextBody"/>
        <w:bidi w:val="0"/>
        <w:jc w:val="both"/>
        <w:rPr/>
      </w:pPr>
      <w:r>
        <w:rPr/>
        <w:t>“</w:t>
      </w:r>
      <w:r>
        <w:rPr/>
        <w:t>Our continued focus on working capital efficiency and disciplined capital allocation is translating into stronger cash generation and ongoing deleveraging going forward,” said Marco Portmann. “Nonetheless, we are slightly updating our leverage guidance</w:t>
      </w:r>
      <w:r>
        <w:rPr>
          <w:position w:val="8"/>
          <w:sz w:val="19"/>
        </w:rPr>
        <w:t>3</w:t>
      </w:r>
      <w:r>
        <w:rPr/>
        <w:t>, now expecting to end 2026 with a leverage of 2.0x or slightly above, reflecting temporary investments in securing our supply chain and protecting our margins.”</w:t>
      </w:r>
    </w:p>
    <w:p>
      <w:pPr>
        <w:pStyle w:val="TextBody"/>
        <w:bidi w:val="0"/>
        <w:spacing w:before="0" w:after="283"/>
        <w:jc w:val="left"/>
        <w:rPr/>
      </w:pPr>
      <w:r>
        <w:rPr>
          <w:rStyle w:val="StrongEmphasis"/>
        </w:rPr>
        <w:t>Second Quarter 2026 Earnings Call</w:t>
      </w:r>
    </w:p>
    <w:p>
      <w:pPr>
        <w:pStyle w:val="TextBody"/>
        <w:bidi w:val="0"/>
        <w:jc w:val="both"/>
        <w:rPr/>
      </w:pPr>
      <w:r>
        <w:rPr/>
        <w:t xml:space="preserve">The Company will host an earnings conference call and webcast today at 8:30am Eastern Time. Investors and analysts can access the conference call and webcast, including conference call materials, at </w:t>
      </w:r>
      <w:r>
        <w:rPr>
          <w:rStyle w:val="Emphasis"/>
        </w:rPr>
        <w:t>https://www.aebi-schmidt.com/investors</w:t>
      </w:r>
      <w:r>
        <w:rPr/>
        <w:t>, or directly through: </w:t>
      </w:r>
    </w:p>
    <w:p>
      <w:pPr>
        <w:pStyle w:val="TextBody"/>
        <w:numPr>
          <w:ilvl w:val="0"/>
          <w:numId w:val="5"/>
        </w:numPr>
        <w:tabs>
          <w:tab w:val="clear" w:pos="1134"/>
          <w:tab w:val="left" w:pos="709" w:leader="none"/>
        </w:tabs>
        <w:bidi w:val="0"/>
        <w:spacing w:before="100" w:after="283"/>
        <w:ind w:left="709" w:hanging="283"/>
        <w:jc w:val="left"/>
        <w:rPr/>
      </w:pPr>
      <w:r>
        <w:rPr/>
        <w:t>https://edge.media-server.com/mmc/p/zezjzoxj/ for the webcast, and</w:t>
      </w:r>
    </w:p>
    <w:p>
      <w:pPr>
        <w:pStyle w:val="TextBody"/>
        <w:numPr>
          <w:ilvl w:val="0"/>
          <w:numId w:val="5"/>
        </w:numPr>
        <w:tabs>
          <w:tab w:val="clear" w:pos="1134"/>
          <w:tab w:val="left" w:pos="709" w:leader="none"/>
        </w:tabs>
        <w:bidi w:val="0"/>
        <w:spacing w:before="100" w:after="283"/>
        <w:ind w:left="709" w:hanging="283"/>
        <w:jc w:val="left"/>
        <w:rPr/>
      </w:pPr>
      <w:r>
        <w:rPr/>
        <w:t>https://register-conf.media-server.com/register/BI503275d72b6241de9941e252348e9fe9 for the live conference call with the ability to ask questions during the Q&amp;A.       </w:t>
      </w:r>
    </w:p>
    <w:tbl>
      <w:tblPr>
        <w:tblW w:w="10205" w:type="dxa"/>
        <w:jc w:val="left"/>
        <w:tblInd w:w="0" w:type="dxa"/>
        <w:tblLayout w:type="fixed"/>
        <w:tblCellMar>
          <w:top w:w="28" w:type="dxa"/>
          <w:left w:w="28" w:type="dxa"/>
          <w:bottom w:w="28" w:type="dxa"/>
          <w:right w:w="28" w:type="dxa"/>
        </w:tblCellMar>
      </w:tblPr>
      <w:tblGrid>
        <w:gridCol w:w="161"/>
        <w:gridCol w:w="328"/>
        <w:gridCol w:w="4353"/>
        <w:gridCol w:w="5363"/>
      </w:tblGrid>
      <w:tr>
        <w:trPr/>
        <w:tc>
          <w:tcPr>
            <w:tcW w:w="161" w:type="dxa"/>
            <w:tcBorders/>
            <w:vAlign w:val="center"/>
          </w:tcPr>
          <w:p>
            <w:pPr>
              <w:pStyle w:val="TableContents"/>
              <w:bidi w:val="0"/>
              <w:spacing w:before="0" w:after="283"/>
              <w:jc w:val="left"/>
              <w:rPr/>
            </w:pPr>
            <w:r>
              <w:rPr/>
              <w:t> </w:t>
            </w:r>
          </w:p>
        </w:tc>
        <w:tc>
          <w:tcPr>
            <w:tcW w:w="3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rStyle w:val="Emphasis"/>
              </w:rPr>
              <w:t>[1]</w:t>
            </w:r>
          </w:p>
        </w:tc>
        <w:tc>
          <w:tcPr>
            <w:tcW w:w="9716" w:type="dxa"/>
            <w:gridSpan w:val="2"/>
            <w:tcBorders/>
            <w:vAlign w:val="center"/>
          </w:tcPr>
          <w:p>
            <w:pPr>
              <w:pStyle w:val="TableContents"/>
              <w:bidi w:val="0"/>
              <w:spacing w:before="0" w:after="283"/>
              <w:jc w:val="left"/>
              <w:rPr/>
            </w:pPr>
            <w:r>
              <w:rPr>
                <w:rStyle w:val="Emphasis"/>
              </w:rPr>
              <w:t>See Non-GAAP Financial Measures for additional information regarding non-GAAP financial measures.</w:t>
            </w:r>
          </w:p>
        </w:tc>
      </w:tr>
      <w:tr>
        <w:trPr/>
        <w:tc>
          <w:tcPr>
            <w:tcW w:w="161"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rStyle w:val="Emphasis"/>
              </w:rPr>
              <w:t>[2]</w:t>
            </w:r>
          </w:p>
        </w:tc>
        <w:tc>
          <w:tcPr>
            <w:tcW w:w="9716" w:type="dxa"/>
            <w:gridSpan w:val="2"/>
            <w:tcBorders/>
            <w:vAlign w:val="center"/>
          </w:tcPr>
          <w:p>
            <w:pPr>
              <w:pStyle w:val="TableContents"/>
              <w:bidi w:val="0"/>
              <w:spacing w:before="0" w:after="283"/>
              <w:jc w:val="left"/>
              <w:rPr/>
            </w:pPr>
            <w:r>
              <w:rPr>
                <w:rStyle w:val="Emphasis"/>
              </w:rPr>
              <w:t>Financial results up until June 30, 2025, include results for Aebi Schmidt and The Shyft Group on a combined basis inclusive of the period prior to the acquisition on July 1, 2025. This also applies to 2025 figures used as the basis for year-over-year comparisons throughout this release, which are presented on a combined basis as if the acquisition had closed on January 1, 2024. Historical information presented on a combined basis does not reflect any pro-forma adjustments or adjustments for costs related to integration activities, cost savings or synergies that have occurred or may be achieved if the acquisition occurred on January 1, 2024.</w:t>
            </w:r>
          </w:p>
        </w:tc>
      </w:tr>
      <w:tr>
        <w:trPr/>
        <w:tc>
          <w:tcPr>
            <w:tcW w:w="161"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rStyle w:val="Emphasis"/>
              </w:rPr>
              <w:t>[3]</w:t>
            </w:r>
          </w:p>
        </w:tc>
        <w:tc>
          <w:tcPr>
            <w:tcW w:w="9716" w:type="dxa"/>
            <w:gridSpan w:val="2"/>
            <w:tcBorders/>
            <w:vAlign w:val="center"/>
          </w:tcPr>
          <w:p>
            <w:pPr>
              <w:pStyle w:val="TableContents"/>
              <w:bidi w:val="0"/>
              <w:spacing w:before="0" w:after="283"/>
              <w:jc w:val="left"/>
              <w:rPr/>
            </w:pPr>
            <w:r>
              <w:rPr>
                <w:rStyle w:val="Emphasis"/>
              </w:rPr>
              <w:t>Guidance assumes continued normalization of geopolitical uncertainty, tariff discussions and related inflationary pressures through year-end.</w:t>
            </w:r>
          </w:p>
        </w:tc>
      </w:tr>
      <w:tr>
        <w:trPr/>
        <w:tc>
          <w:tcPr>
            <w:tcW w:w="161"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4353"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107" w:type="dxa"/>
        <w:jc w:val="left"/>
        <w:tblInd w:w="0" w:type="dxa"/>
        <w:tblLayout w:type="fixed"/>
        <w:tblCellMar>
          <w:top w:w="28" w:type="dxa"/>
          <w:left w:w="28" w:type="dxa"/>
          <w:bottom w:w="28" w:type="dxa"/>
          <w:right w:w="28" w:type="dxa"/>
        </w:tblCellMar>
      </w:tblPr>
      <w:tblGrid>
        <w:gridCol w:w="4456"/>
        <w:gridCol w:w="4651"/>
      </w:tblGrid>
      <w:tr>
        <w:trPr/>
        <w:tc>
          <w:tcPr>
            <w:tcW w:w="4456" w:type="dxa"/>
            <w:tcBorders/>
            <w:vAlign w:val="center"/>
          </w:tcPr>
          <w:p>
            <w:pPr>
              <w:pStyle w:val="TableContents"/>
              <w:bidi w:val="0"/>
              <w:spacing w:before="0" w:after="283"/>
              <w:jc w:val="left"/>
              <w:rPr/>
            </w:pPr>
            <w:r>
              <w:rPr>
                <w:rStyle w:val="StrongEmphasis"/>
              </w:rPr>
              <w:t>Media contact</w:t>
            </w:r>
            <w:r>
              <w:rPr/>
              <w:br/>
              <w:t xml:space="preserve">Tina Fischer, Corporate Communication </w:t>
              <w:br/>
              <w:t>media@aebi-schmidt.com</w:t>
              <w:br/>
              <w:t>Phone: +41 44 308 58 48</w:t>
              <w:br/>
              <w:br/>
            </w:r>
            <w:r>
              <w:rPr>
                <w:rStyle w:val="StrongEmphasis"/>
              </w:rPr>
              <w:t>Investor Contact</w:t>
            </w:r>
            <w:r>
              <w:rPr/>
              <w:br/>
              <w:t xml:space="preserve">Simone Grancini, Director Investor Relations </w:t>
              <w:br/>
              <w:t>investor.relations@aebi-schmidt.com</w:t>
              <w:br/>
              <w:t>Phone: +41 44 308 58 77</w:t>
            </w:r>
          </w:p>
        </w:tc>
        <w:tc>
          <w:tcPr>
            <w:tcW w:w="4651" w:type="dxa"/>
            <w:tcBorders/>
            <w:vAlign w:val="center"/>
          </w:tcPr>
          <w:p>
            <w:pPr>
              <w:pStyle w:val="TableContents"/>
              <w:bidi w:val="0"/>
              <w:spacing w:before="0" w:after="283"/>
              <w:jc w:val="left"/>
              <w:rPr/>
            </w:pPr>
            <w:r>
              <w:rPr>
                <w:rStyle w:val="StrongEmphasis"/>
              </w:rPr>
              <w:t>Further information</w:t>
            </w:r>
            <w:r>
              <w:rPr/>
              <w:br/>
              <w:t>https://www.aebi-schmidt.com</w:t>
              <w:br/>
              <w:t>https://www.youtube.com/AebiSchmidtGroup</w:t>
              <w:br/>
              <w:t>https://media.aebi-schmidt.com (pictures, logos)</w:t>
            </w:r>
          </w:p>
        </w:tc>
      </w:tr>
      <w:tr>
        <w:trPr/>
        <w:tc>
          <w:tcPr>
            <w:tcW w:w="4456" w:type="dxa"/>
            <w:tcBorders/>
            <w:vAlign w:val="center"/>
          </w:tcPr>
          <w:p>
            <w:pPr>
              <w:pStyle w:val="TableContents"/>
              <w:bidi w:val="0"/>
              <w:spacing w:before="0" w:after="283"/>
              <w:jc w:val="left"/>
              <w:rPr/>
            </w:pPr>
            <w:r>
              <w:rPr/>
              <w:t> </w:t>
            </w:r>
          </w:p>
        </w:tc>
        <w:tc>
          <w:tcPr>
            <w:tcW w:w="4651" w:type="dxa"/>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About Aebi Schmidt Group</w:t>
      </w:r>
    </w:p>
    <w:p>
      <w:pPr>
        <w:pStyle w:val="TextBody"/>
        <w:bidi w:val="0"/>
        <w:jc w:val="both"/>
        <w:rPr/>
      </w:pPr>
      <w:r>
        <w:rPr/>
        <w:t>Aebi Schmidt Group (NASDAQ: AEBI) is a world-class specialty vehicles leader, positioned to accelerate growth and drive exceptional value. The Company is headquartered in Switzerland, employs approximately 6,000 employees, and operates production facilities and service and upfit centers across Europe and North America.</w:t>
      </w:r>
    </w:p>
    <w:p>
      <w:pPr>
        <w:pStyle w:val="TextBody"/>
        <w:bidi w:val="0"/>
        <w:spacing w:before="0" w:after="283"/>
        <w:jc w:val="left"/>
        <w:rPr/>
      </w:pPr>
      <w:r>
        <w:rPr>
          <w:rStyle w:val="StrongEmphasis"/>
        </w:rPr>
        <w:t>Forward-looking statements</w:t>
      </w:r>
    </w:p>
    <w:p>
      <w:pPr>
        <w:pStyle w:val="TextBody"/>
        <w:bidi w:val="0"/>
        <w:jc w:val="both"/>
        <w:rPr/>
      </w:pPr>
      <w:r>
        <w:rPr/>
        <w:t>This release contains information, including our sales and earnings guidance, all other information provided with respect to our outlook for 2026 and future periods, and other statements concerning our business, strategic position, financial projections, financial strength, future plans, objectives, and the performance of our products and operations that may constitute "forward-looking statements"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"believe," "expect," "intend," "potential," "future," "may," "will," "should," and similar expressions or by using future dates or targets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and attainment of acquisition synergies, potential capital and operational cash improvements,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Aebi Schmidt's beliefs regarding future events, many of which, by their nature, are inherently uncertain and outside of Aebi Schmidt's control. It is possible that Aebi Schmidt's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Aebi Schmidt's historical experience and our present expectations or projections. More information about factors that potentially could affect our financial results is included in our filings with the SEC, which are available at www.sec.gov or our website. All forward-looking statements in this release are qualified by this paragraph. Investors should not place undue reliance on forward-looking statements as a prediction of actual results.</w:t>
      </w:r>
    </w:p>
    <w:p>
      <w:pPr>
        <w:pStyle w:val="TextBody"/>
        <w:bidi w:val="0"/>
        <w:jc w:val="both"/>
        <w:rPr/>
      </w:pPr>
      <w:r>
        <w:rPr>
          <w:rStyle w:val="StrongEmphasis"/>
        </w:rPr>
        <w:t>Non-GAAP Financial Measures</w:t>
      </w:r>
      <w:r>
        <w:rPr/>
        <w:br/>
        <w:t>To supplement its reporting of financial measures determined in accordance with generally accepted accounting principles in the United States ("GAAP"), Aebi Schmidt utilizes certain non-GAAP financial measures. Aebi Schmidt utilizes non-GAAP financial measures such as Adjusted EBITDA, Adjusted EBITDA margin, Net Working Capital and Net Debt to separate the impact of certain items from the underlying business. Because Aebi Schmidt uses these adjusted financial results in the management of its business, management believes this supplemental information is useful to investors for their independent evaluation and understanding of Aebi Schmidt's underlying business performance and the performance of its management. To aid investors and analysts with year-over-year comparability for the combined business of Aebi Schmidt and Shyft, the Company has also presented certain of these non-GAAP financial measures on a "Combined " basis. Combined non-GAAP financial measures include results for both Aebi Schmidt and Shyft on a combined basis inclusive of periods prior to the acquisition. Information presented on a combined basis does not reflect pro-forma adjustments or other adjustments for costs related to integration activities, cost savings or synergies that have been or may be achieved if the business combination occurred on January 1, 2024. The non-GAAP financial measures described above are in addition to, and not meant to be considered superior to, or a substitute for, Aebi Schmidt's financial statements prepared in accordance with GAAP. Non-GAAP financial measures have limitations in that they do not reflect all of the amounts associated with the Company's results of operations as determined in accordance with GAAP. Also, other companies might calculate these measures differently. Investors are encouraged to review the reconciliations of the non-GAAP financial measures to their most directly comparable GAAP measures included in this press release and the accompanying tables. In addition, the non-GAAP financial measures included in this earnings announcement reflect management's judgment of particular items, and may be different from, and therefore may not be comparable to, similarly titled measures reported by other companies.</w:t>
      </w:r>
    </w:p>
    <w:p>
      <w:pPr>
        <w:pStyle w:val="TextBody"/>
        <w:bidi w:val="0"/>
        <w:jc w:val="both"/>
        <w:rPr/>
      </w:pPr>
      <w:r>
        <w:rPr/>
        <w:t>The Company did not provide reconciliations of forward-looking non-GAAP financial measures, such as Adjusted EBITDA and Leverage, to the most comparable GAAP financial measure because the Company is unable to provide a meaningful or accurate calculation or estimation of reconciling items, and the information is not available without unreasonable effort. The Company is unable to address the probable significance of the unavailable information.</w:t>
      </w:r>
    </w:p>
    <w:p>
      <w:pPr>
        <w:pStyle w:val="TextBody"/>
        <w:bidi w:val="0"/>
        <w:spacing w:before="0" w:after="283"/>
        <w:jc w:val="left"/>
        <w:rPr/>
      </w:pPr>
      <w:r>
        <w:rPr>
          <w:rStyle w:val="StrongEmphasis"/>
        </w:rPr>
        <w:t>Aebi Schmidt Group</w:t>
      </w:r>
      <w:r>
        <w:rPr/>
        <w:br/>
      </w:r>
      <w:r>
        <w:rPr>
          <w:rStyle w:val="StrongEmphasis"/>
        </w:rPr>
        <w:t>Combined Financial Summary (Non-GAAP, unaudited)</w:t>
      </w:r>
      <w:r>
        <w:rPr>
          <w:rStyle w:val="StrongEmphasis"/>
          <w:position w:val="8"/>
          <w:sz w:val="19"/>
        </w:rPr>
        <w:t>1</w:t>
      </w:r>
      <w:r>
        <w:rPr/>
        <w:br/>
      </w:r>
      <w:r>
        <w:rPr>
          <w:rStyle w:val="StrongEmphasis"/>
        </w:rPr>
        <w:t>(in thousands)</w:t>
      </w:r>
    </w:p>
    <w:p>
      <w:pPr>
        <w:pStyle w:val="TextBody"/>
        <w:bidi w:val="0"/>
        <w:jc w:val="both"/>
        <w:rPr/>
      </w:pPr>
      <w:r>
        <w:rPr/>
        <w:t>Financial results up until June 30, 2025, include results for Aebi Schmidt and The Shyft Group on a combined basis inclusive of the period prior to the acquisition on July 1, 2025. This also applies to 2025 figures used as the basis for year-over-year comparisons throughout this release, which are presented on a combined basis as if the acquisition had closed on January 1, 2024. Historical information presented on a combined basis does not reflect any pro-forma adjustments or adjustments for costs related to integration activities, cost savings or synergies that have occurred or may be achieved if the acquisition occurred on January 1, 2024.</w:t>
      </w:r>
    </w:p>
    <w:tbl>
      <w:tblPr>
        <w:tblW w:w="9186" w:type="dxa"/>
        <w:jc w:val="left"/>
        <w:tblInd w:w="-10" w:type="dxa"/>
        <w:tblLayout w:type="fixed"/>
        <w:tblCellMar>
          <w:top w:w="28" w:type="dxa"/>
          <w:left w:w="28" w:type="dxa"/>
          <w:bottom w:w="28" w:type="dxa"/>
          <w:right w:w="28" w:type="dxa"/>
        </w:tblCellMar>
      </w:tblPr>
      <w:tblGrid>
        <w:gridCol w:w="4411"/>
        <w:gridCol w:w="946"/>
        <w:gridCol w:w="946"/>
        <w:gridCol w:w="946"/>
        <w:gridCol w:w="946"/>
        <w:gridCol w:w="991"/>
      </w:tblGrid>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 ($k)</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Q2 2025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Q3 2025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Q4 2025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Q1 2026</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Q2 2026</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Sales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453,706</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471,325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528,371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455,545</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496,408</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Income (Loss)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-7,895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1,194</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8,772</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671</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10,474</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Add (subtract)</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Interest Expense</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12,153</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14,228</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11,761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11,350</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11,126</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Depreciation &amp; amortization</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11,778</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14,990</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16,159</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13,803</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14,152</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Income tax (benefit) / expenses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-2,175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-447</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2,036</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488</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4,848</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Restructuring and other related charges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5,709</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12,759</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6,391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4,216</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1,541</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Transaction related expenses and adjustments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13,047</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5,988</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562</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434</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414</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Foreign exchange losses on external debt</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2,601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-252</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-371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300</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-23</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Pension related income, net</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-1,025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-1,025</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-2,076</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-776</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-739</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Other</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287</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-5,239</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4,839</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2,631</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320</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34,480</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42,197</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48,073</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33,117</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42,113</w:t>
            </w:r>
          </w:p>
        </w:tc>
      </w:tr>
      <w:tr>
        <w:trPr/>
        <w:tc>
          <w:tcPr>
            <w:tcW w:w="4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Adjusted EBITDA (as % of Net Sales)</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7.6%</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9.0%</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9.1%</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7.3%</w:t>
            </w:r>
          </w:p>
        </w:tc>
        <w:tc>
          <w:tcPr>
            <w:tcW w:w="9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8.5%</w:t>
            </w:r>
          </w:p>
        </w:tc>
      </w:tr>
    </w:tbl>
    <w:p>
      <w:pPr>
        <w:pStyle w:val="TextBody"/>
        <w:bidi w:val="0"/>
        <w:jc w:val="both"/>
        <w:rPr/>
      </w:pPr>
      <w:r>
        <w:rPr/>
        <w:br/>
        <w:t>For historical comparisons to The Shyft Group results, adjustments reflected in the table above do not include non-cash stock-based compensation expense.</w:t>
      </w:r>
    </w:p>
    <w:tbl>
      <w:tblPr>
        <w:tblW w:w="8151" w:type="dxa"/>
        <w:jc w:val="left"/>
        <w:tblInd w:w="-10" w:type="dxa"/>
        <w:tblLayout w:type="fixed"/>
        <w:tblCellMar>
          <w:top w:w="28" w:type="dxa"/>
          <w:left w:w="28" w:type="dxa"/>
          <w:bottom w:w="28" w:type="dxa"/>
          <w:right w:w="28" w:type="dxa"/>
        </w:tblCellMar>
      </w:tblPr>
      <w:tblGrid>
        <w:gridCol w:w="3511"/>
        <w:gridCol w:w="916"/>
        <w:gridCol w:w="901"/>
        <w:gridCol w:w="916"/>
        <w:gridCol w:w="976"/>
        <w:gridCol w:w="931"/>
      </w:tblGrid>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Debt ($k) and Leverage</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Jun 30, </w:t>
              <w:br/>
              <w:t>2025</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Sep 30, </w:t>
              <w:br/>
              <w:t>2025</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Dec 31, </w:t>
              <w:br/>
              <w:t>2025</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Mar 31, </w:t>
              <w:br/>
              <w:t>2026</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Jun 30,</w:t>
              <w:br/>
              <w:t>2026</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Current portion of long-term debt</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27,310</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25,063</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46,908</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67,911</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66,336</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Long-term debt, less current portion</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561,325</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628,359</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548,050</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560,958</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551,343</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Total debt</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588,636</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653,422</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594,958</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628,869</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617,679</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Subtract</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Cash and cash equivalents</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83,484</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125,971</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98,512</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115,886</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109,734</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Subordinated Shareholder Loans</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58,845</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58,897</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59,101</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58,213</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57,592</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Debt</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446,306</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468,554</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437,345</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454,770</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450,353</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Divide by</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LTM Adjusted EBITDA</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136,177</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144,678</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155,995</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157,867</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165,500</w:t>
            </w:r>
          </w:p>
        </w:tc>
      </w:tr>
      <w:tr>
        <w:trPr/>
        <w:tc>
          <w:tcPr>
            <w:tcW w:w="35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Debt Leverage</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3.28x</w:t>
            </w:r>
          </w:p>
        </w:tc>
        <w:tc>
          <w:tcPr>
            <w:tcW w:w="9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3.24x</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2.80x</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2.88x</w:t>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2.72x</w:t>
            </w:r>
          </w:p>
        </w:tc>
      </w:tr>
    </w:tbl>
    <w:p>
      <w:pPr>
        <w:pStyle w:val="TextBody"/>
        <w:bidi w:val="0"/>
        <w:jc w:val="both"/>
        <w:rPr/>
      </w:pPr>
      <w:r>
        <w:rPr/>
        <w:br/>
        <w:t>Net Debt as defined in our Credit Facility Agreement, excluding long-term subordinated shareholder loans</w:t>
      </w:r>
    </w:p>
    <w:tbl>
      <w:tblPr>
        <w:tblW w:w="7731" w:type="dxa"/>
        <w:jc w:val="left"/>
        <w:tblInd w:w="-10" w:type="dxa"/>
        <w:tblLayout w:type="fixed"/>
        <w:tblCellMar>
          <w:top w:w="28" w:type="dxa"/>
          <w:left w:w="28" w:type="dxa"/>
          <w:bottom w:w="28" w:type="dxa"/>
          <w:right w:w="28" w:type="dxa"/>
        </w:tblCellMar>
      </w:tblPr>
      <w:tblGrid>
        <w:gridCol w:w="2866"/>
        <w:gridCol w:w="961"/>
        <w:gridCol w:w="961"/>
        <w:gridCol w:w="961"/>
        <w:gridCol w:w="976"/>
        <w:gridCol w:w="1006"/>
      </w:tblGrid>
      <w:tr>
        <w:trPr/>
        <w:tc>
          <w:tcPr>
            <w:tcW w:w="28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Net Working Capital ($k)</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Jun 30, </w:t>
              <w:br/>
              <w:t>2025</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Sep 30, </w:t>
              <w:br/>
              <w:t>2025</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Dec 31, </w:t>
              <w:br/>
              <w:t>2025</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Mar 31, </w:t>
              <w:br/>
              <w:t>2026</w:t>
            </w:r>
          </w:p>
        </w:tc>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 xml:space="preserve">Jun 30, </w:t>
              <w:br/>
              <w:t>2026</w:t>
            </w:r>
          </w:p>
        </w:tc>
      </w:tr>
      <w:tr>
        <w:trPr/>
        <w:tc>
          <w:tcPr>
            <w:tcW w:w="28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Accounts receivable</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267,373</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297,322</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310,755</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271,241</w:t>
            </w:r>
          </w:p>
        </w:tc>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276,267</w:t>
            </w:r>
          </w:p>
        </w:tc>
      </w:tr>
      <w:tr>
        <w:trPr/>
        <w:tc>
          <w:tcPr>
            <w:tcW w:w="28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Inventories</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405,534</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384,446</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346,423</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379,186</w:t>
            </w:r>
          </w:p>
        </w:tc>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380,154</w:t>
            </w:r>
          </w:p>
        </w:tc>
      </w:tr>
      <w:tr>
        <w:trPr/>
        <w:tc>
          <w:tcPr>
            <w:tcW w:w="28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Accounts payable</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-206,779</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-230,307</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-234,642</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-201,927</w:t>
            </w:r>
          </w:p>
        </w:tc>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-207,281</w:t>
            </w:r>
          </w:p>
        </w:tc>
      </w:tr>
      <w:tr>
        <w:trPr/>
        <w:tc>
          <w:tcPr>
            <w:tcW w:w="28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Total Net Working Capital</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466,128</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451,461</w:t>
            </w:r>
          </w:p>
        </w:tc>
        <w:tc>
          <w:tcPr>
            <w:tcW w:w="9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422,536</w:t>
            </w:r>
          </w:p>
        </w:tc>
        <w:tc>
          <w:tcPr>
            <w:tcW w:w="9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448,500</w:t>
            </w:r>
          </w:p>
        </w:tc>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rStyle w:val="StrongEmphasis"/>
              </w:rPr>
              <w:t>449,140</w:t>
            </w:r>
          </w:p>
        </w:tc>
      </w:tr>
    </w:tbl>
    <w:p>
      <w:pPr>
        <w:pStyle w:val="TextBody"/>
        <w:bidi w:val="0"/>
        <w:spacing w:before="0" w:after="283"/>
        <w:jc w:val="both"/>
        <w:rPr/>
      </w:pPr>
      <w:r>
        <w:rPr/>
        <w:br/>
        <w:t>Net Working Capital is calculated as Accounts Receivable plus Inventory, less Accounts Payable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2752</Words>
  <Characters>15873</Characters>
  <CharactersWithSpaces>18435</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