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June 30, 2026</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to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001-42663</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Aebi Schmidt Holding AG</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5697" w:type="dxa"/>
        <w:jc w:val="left"/>
        <w:tblInd w:w="0" w:type="dxa"/>
        <w:tblLayout w:type="fixed"/>
        <w:tblCellMar>
          <w:top w:w="28" w:type="dxa"/>
          <w:left w:w="28" w:type="dxa"/>
          <w:bottom w:w="28" w:type="dxa"/>
          <w:right w:w="28" w:type="dxa"/>
        </w:tblCellMar>
      </w:tblPr>
      <w:tblGrid>
        <w:gridCol w:w="1218"/>
        <w:gridCol w:w="1066"/>
        <w:gridCol w:w="1076"/>
        <w:gridCol w:w="109"/>
        <w:gridCol w:w="109"/>
        <w:gridCol w:w="109"/>
        <w:gridCol w:w="588"/>
        <w:gridCol w:w="588"/>
        <w:gridCol w:w="834"/>
      </w:tblGrid>
      <w:tr>
        <w:trPr/>
        <w:tc>
          <w:tcPr>
            <w:tcW w:w="121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Switzerland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Schulstrasse 4</w:t>
            </w:r>
          </w:p>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CH-8500 Frauenfeld, Switzerland</w:t>
            </w:r>
          </w:p>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+41 44-308-5800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6958" w:type="dxa"/>
        <w:jc w:val="left"/>
        <w:tblInd w:w="0" w:type="dxa"/>
        <w:tblLayout w:type="fixed"/>
        <w:tblCellMar>
          <w:top w:w="28" w:type="dxa"/>
          <w:left w:w="28" w:type="dxa"/>
          <w:bottom w:w="28" w:type="dxa"/>
          <w:right w:w="28" w:type="dxa"/>
        </w:tblCellMar>
      </w:tblPr>
      <w:tblGrid>
        <w:gridCol w:w="570"/>
        <w:gridCol w:w="499"/>
        <w:gridCol w:w="505"/>
        <w:gridCol w:w="559"/>
        <w:gridCol w:w="559"/>
        <w:gridCol w:w="56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12" w:space="0" w:color="000000"/>
              <w:left w:val="single" w:sz="12"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79" w:type="dxa"/>
            <w:gridSpan w:val="3"/>
            <w:tcBorders>
              <w:top w:val="single" w:sz="12" w:space="0" w:color="000000"/>
              <w:left w:val="single" w:sz="12"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12" w:space="0" w:color="000000"/>
              <w:left w:val="single" w:sz="12" w:space="0" w:color="000000"/>
              <w:right w:val="single" w:sz="12"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12" w:space="0" w:color="000000"/>
              <w:left w:val="single" w:sz="12" w:space="0" w:color="000000"/>
              <w:bottom w:val="single" w:sz="12" w:space="0" w:color="000000"/>
            </w:tcBorders>
            <w:tcMar>
              <w:top w:w="52"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79" w:type="dxa"/>
            <w:gridSpan w:val="3"/>
            <w:tcBorders>
              <w:top w:val="single" w:sz="12" w:space="0" w:color="000000"/>
              <w:left w:val="single" w:sz="12" w:space="0" w:color="000000"/>
              <w:bottom w:val="single" w:sz="12" w:space="0" w:color="000000"/>
            </w:tcBorders>
            <w:tcMar>
              <w:top w:w="52"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AEBI</w:t>
            </w:r>
          </w:p>
        </w:tc>
        <w:tc>
          <w:tcPr>
            <w:tcW w:w="3705" w:type="dxa"/>
            <w:gridSpan w:val="3"/>
            <w:tcBorders>
              <w:top w:val="single" w:sz="12" w:space="0" w:color="000000"/>
              <w:left w:val="single" w:sz="12" w:space="0" w:color="000000"/>
              <w:bottom w:val="single" w:sz="12" w:space="0" w:color="000000"/>
              <w:right w:val="single" w:sz="12" w:space="0" w:color="000000"/>
            </w:tcBorders>
            <w:tcMar>
              <w:top w:w="52"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ind w:left="0" w:right="0" w:firstLine="504"/>
        <w:jc w:val="left"/>
        <w:rPr/>
      </w:pPr>
      <w:r>
        <w:rPr>
          <w:rFonts w:ascii="Times New Roman;serif" w:hAnsi="Times New Roman;serif"/>
          <w:b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shd w:fill="FFFFFF" w:val="clear"/>
        </w:rPr>
        <w:t xml:space="preserve"> ☒ </w:t>
      </w:r>
      <w:r>
        <w:rPr>
          <w:rFonts w:ascii="Times New Roman;serif" w:hAnsi="Times New Roman;serif"/>
          <w:b w:val="false"/>
          <w:color w:val="000000"/>
          <w:sz w:val="20"/>
          <w:shd w:fill="FFFFFF" w:val="clear"/>
        </w:rPr>
        <w:t>Yes    ☐ No</w:t>
      </w:r>
    </w:p>
    <w:p>
      <w:pPr>
        <w:pStyle w:val="TextBody"/>
        <w:bidi w:val="0"/>
        <w:spacing w:lineRule="auto" w:line="288" w:before="0" w:after="240"/>
        <w:ind w:left="0" w:right="0" w:firstLine="504"/>
        <w:jc w:val="left"/>
        <w:rPr/>
      </w:pPr>
      <w:r>
        <w:rPr>
          <w:rFonts w:ascii="Times New Roman;serif" w:hAnsi="Times New Roman;serif"/>
          <w:b w:val="false"/>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shd w:fill="FFFFFF" w:val="clear"/>
        </w:rPr>
        <w:t xml:space="preserve"> ☒ </w:t>
      </w:r>
      <w:r>
        <w:rPr>
          <w:rFonts w:ascii="Times New Roman;serif" w:hAnsi="Times New Roman;serif"/>
          <w:b w:val="false"/>
          <w:color w:val="000000"/>
          <w:sz w:val="20"/>
          <w:shd w:fill="FFFFFF" w:val="clear"/>
        </w:rPr>
        <w:t>Yes    ☐ No</w:t>
      </w:r>
    </w:p>
    <w:p>
      <w:pPr>
        <w:pStyle w:val="TextBody"/>
        <w:bidi w:val="0"/>
        <w:spacing w:lineRule="auto" w:line="288" w:before="0" w:after="240"/>
        <w:ind w:left="0" w:right="0" w:firstLine="504"/>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shell company (as defined in Rule 12b-2 of the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Exchange Act).   ☐ Yes ☒ No</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issuer’s classes of common stock, as of the latest practicable date.</w:t>
      </w:r>
    </w:p>
    <w:tbl>
      <w:tblPr>
        <w:tblW w:w="4243" w:type="dxa"/>
        <w:jc w:val="left"/>
        <w:tblInd w:w="0" w:type="dxa"/>
        <w:tblLayout w:type="fixed"/>
        <w:tblCellMar>
          <w:top w:w="28" w:type="dxa"/>
          <w:left w:w="28" w:type="dxa"/>
          <w:bottom w:w="28" w:type="dxa"/>
          <w:right w:w="28" w:type="dxa"/>
        </w:tblCellMar>
      </w:tblPr>
      <w:tblGrid>
        <w:gridCol w:w="497"/>
        <w:gridCol w:w="439"/>
        <w:gridCol w:w="443"/>
        <w:gridCol w:w="837"/>
        <w:gridCol w:w="837"/>
        <w:gridCol w:w="1190"/>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Class</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Outstanding as of August 7, 2026</w:t>
            </w:r>
          </w:p>
        </w:tc>
      </w:tr>
      <w:tr>
        <w:trPr/>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77,603,247 shares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(this “Quarterly Report”) contains some statements that are not historical facts. These statements are called “forward-looking statements” within the meaning of Section 27A of the Securities Act of 1933, as amended, and Section 21E of the Securities Exchange Act of 1934, as amended. These statements involve important known and unknown risks, uncertainties and other factors and generally can be identified by phrases using “estimate,” “anticipate,” “believe,” “project,” “expect,” “intend,” “predict,” “potential,” “future,” “may,” “will,” “should” or similar expressions or words. Aebi Schmidt Holding AG’s (“Aebi Schmidt,”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that are difficult to predict with regard to timing, extent, likelihood and degree of occurrence. Therefore, actual results and outcomes may materially differ from what may be expressed or forecasted in such forward-looking statements.</w:t>
      </w:r>
    </w:p>
    <w:p>
      <w:pPr>
        <w:pStyle w:val="TextBody"/>
        <w:bidi w:val="0"/>
        <w:spacing w:lineRule="auto" w:line="288" w:before="0" w:after="240"/>
        <w:jc w:val="both"/>
        <w:rPr/>
      </w:pPr>
      <w:r>
        <w:rPr>
          <w:rFonts w:ascii="Times New Roman;serif" w:hAnsi="Times New Roman;serif"/>
          <w:b w:val="false"/>
          <w:color w:val="000000"/>
          <w:sz w:val="20"/>
          <w:shd w:fill="FFFFFF" w:val="clear"/>
        </w:rPr>
        <w:t>Factors that might cause future results to differ materially from those projected in the forward-looking statements include, but are not limited to, those described in the section titled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in Part I, Item 1A of our Annual Report on Form 10-K for the year ended December 31, 2025, as well as risk factors that we have discussed in previous public reports and other documents filed with the Securities and Exchange Commission (the “SEC”). Such risk factors include the primary risks our management believes could materially affect the potential results described by forward-looking statements contained in this Quarterly Report.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Quarterly Report are reasonable, we cannot provide you with any guarantee that the results described in those forward-looking statements will be achieved. All forward-looking statements in this Quarterly Report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Quarterly Report is filed with the SEC,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INDEX</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I—FINANCIAL INFORMATION</w:t>
      </w:r>
    </w:p>
    <w:tbl>
      <w:tblPr>
        <w:tblW w:w="10013" w:type="dxa"/>
        <w:jc w:val="left"/>
        <w:tblInd w:w="0" w:type="dxa"/>
        <w:tblLayout w:type="fixed"/>
        <w:tblCellMar>
          <w:top w:w="28" w:type="dxa"/>
          <w:left w:w="28" w:type="dxa"/>
          <w:bottom w:w="28" w:type="dxa"/>
          <w:right w:w="28" w:type="dxa"/>
        </w:tblCellMar>
      </w:tblPr>
      <w:tblGrid>
        <w:gridCol w:w="822"/>
        <w:gridCol w:w="726"/>
        <w:gridCol w:w="728"/>
        <w:gridCol w:w="2452"/>
        <w:gridCol w:w="2452"/>
        <w:gridCol w:w="2461"/>
        <w:gridCol w:w="109"/>
        <w:gridCol w:w="109"/>
        <w:gridCol w:w="154"/>
      </w:tblGrid>
      <w:tr>
        <w:trPr/>
        <w:tc>
          <w:tcPr>
            <w:tcW w:w="8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9">
              <w:r>
                <w:rPr>
                  <w:rStyle w:val="InternetLink"/>
                  <w:rFonts w:ascii="Times New Roman;serif" w:hAnsi="Times New Roman;serif"/>
                  <w:b w:val="false"/>
                  <w:color w:val="0000FF"/>
                  <w:sz w:val="20"/>
                  <w:u w:val="single"/>
                </w:rPr>
                <w:t>Financial Statements.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9">
              <w:r>
                <w:rPr>
                  <w:rStyle w:val="InternetLink"/>
                  <w:rFonts w:ascii="Times New Roman;serif" w:hAnsi="Times New Roman;serif"/>
                  <w:b w:val="false"/>
                  <w:strike w:val="false"/>
                  <w:dstrike w:val="false"/>
                  <w:color w:val="000000"/>
                  <w:sz w:val="20"/>
                  <w:u w:val="none"/>
                  <w:effect w:val="none"/>
                </w:rPr>
                <w:t>3</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22">
              <w:r>
                <w:rPr>
                  <w:rStyle w:val="InternetLink"/>
                  <w:rFonts w:ascii="Times New Roman;serif" w:hAnsi="Times New Roman;serif"/>
                  <w:b w:val="false"/>
                  <w:color w:val="0000FF"/>
                  <w:sz w:val="20"/>
                  <w:u w:val="single"/>
                </w:rPr>
                <w:t>CONDENSED CONSOLIDATED BALANCE SHEETS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22">
              <w:r>
                <w:rPr>
                  <w:rStyle w:val="InternetLink"/>
                  <w:rFonts w:ascii="Times New Roman;serif" w:hAnsi="Times New Roman;serif"/>
                  <w:b w:val="false"/>
                  <w:strike w:val="false"/>
                  <w:dstrike w:val="false"/>
                  <w:color w:val="000000"/>
                  <w:sz w:val="20"/>
                  <w:u w:val="none"/>
                  <w:effect w:val="none"/>
                </w:rPr>
                <w:t>3</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25">
              <w:r>
                <w:rPr>
                  <w:rStyle w:val="InternetLink"/>
                  <w:rFonts w:ascii="Times New Roman;serif" w:hAnsi="Times New Roman;serif"/>
                  <w:b w:val="false"/>
                  <w:color w:val="0000FF"/>
                  <w:sz w:val="20"/>
                  <w:u w:val="single"/>
                </w:rPr>
                <w:t>CONDENSED CONSOLIDATED STATEMENTS OF OPERATIONS (Unaudited)</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25">
              <w:r>
                <w:rPr>
                  <w:rStyle w:val="InternetLink"/>
                  <w:rFonts w:ascii="Times New Roman;serif" w:hAnsi="Times New Roman;serif"/>
                  <w:b w:val="false"/>
                  <w:strike w:val="false"/>
                  <w:dstrike w:val="false"/>
                  <w:color w:val="000000"/>
                  <w:sz w:val="20"/>
                  <w:u w:val="none"/>
                  <w:effect w:val="none"/>
                </w:rPr>
                <w:t>5</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28">
              <w:r>
                <w:rPr>
                  <w:rStyle w:val="InternetLink"/>
                  <w:rFonts w:ascii="Times New Roman;serif" w:hAnsi="Times New Roman;serif"/>
                  <w:b w:val="false"/>
                  <w:color w:val="000080"/>
                  <w:sz w:val="20"/>
                  <w:u w:val="single"/>
                </w:rPr>
                <w:t>CONDENSED CONSOLIDATED STATEMENTS OF COMPREHENSIVE INCOME</w:t>
              </w:r>
            </w:hyperlink>
            <w:hyperlink w:anchor="ic82f18d41b884c5e85aa6447e1ae98a4_28">
              <w:r>
                <w:rPr>
                  <w:rStyle w:val="InternetLink"/>
                  <w:rFonts w:ascii="Times New Roman;serif" w:hAnsi="Times New Roman;serif"/>
                  <w:b w:val="false"/>
                  <w:color w:val="000080"/>
                  <w:sz w:val="20"/>
                  <w:u w:val="single"/>
                </w:rPr>
                <w:t xml:space="preserve"> (</w:t>
              </w:r>
            </w:hyperlink>
            <w:hyperlink w:anchor="ic82f18d41b884c5e85aa6447e1ae98a4_28">
              <w:r>
                <w:rPr>
                  <w:rStyle w:val="InternetLink"/>
                  <w:rFonts w:ascii="Times New Roman;serif" w:hAnsi="Times New Roman;serif"/>
                  <w:b w:val="false"/>
                  <w:color w:val="000080"/>
                  <w:sz w:val="20"/>
                  <w:u w:val="single"/>
                </w:rPr>
                <w:t>LOSS)</w:t>
              </w:r>
            </w:hyperlink>
            <w:hyperlink w:anchor="ic82f18d41b884c5e85aa6447e1ae98a4_28">
              <w:r>
                <w:rPr>
                  <w:rStyle w:val="InternetLink"/>
                  <w:rFonts w:ascii="Times New Roman;serif" w:hAnsi="Times New Roman;serif"/>
                  <w:b w:val="false"/>
                  <w:color w:val="000080"/>
                  <w:sz w:val="20"/>
                  <w:u w:val="single"/>
                </w:rPr>
                <w:t xml:space="preserve">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28">
              <w:r>
                <w:rPr>
                  <w:rStyle w:val="InternetLink"/>
                  <w:rFonts w:ascii="Times New Roman;serif" w:hAnsi="Times New Roman;serif"/>
                  <w:b w:val="false"/>
                  <w:strike w:val="false"/>
                  <w:dstrike w:val="false"/>
                  <w:color w:val="000000"/>
                  <w:sz w:val="20"/>
                  <w:u w:val="none"/>
                  <w:effect w:val="none"/>
                </w:rPr>
                <w:t>6</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31">
              <w:r>
                <w:rPr>
                  <w:rStyle w:val="InternetLink"/>
                  <w:rFonts w:ascii="Times New Roman;serif" w:hAnsi="Times New Roman;serif"/>
                  <w:b w:val="false"/>
                  <w:color w:val="0000FF"/>
                  <w:sz w:val="20"/>
                  <w:u w:val="single"/>
                </w:rPr>
                <w:t>CONDENSED CONSOLIDATED STATEMENTS OF EQUITY (Unaudited)</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31">
              <w:r>
                <w:rPr>
                  <w:rStyle w:val="InternetLink"/>
                  <w:rFonts w:ascii="Times New Roman;serif" w:hAnsi="Times New Roman;serif"/>
                  <w:b w:val="false"/>
                  <w:strike w:val="false"/>
                  <w:dstrike w:val="false"/>
                  <w:color w:val="000000"/>
                  <w:sz w:val="20"/>
                  <w:u w:val="none"/>
                  <w:effect w:val="none"/>
                </w:rPr>
                <w:t>7</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34">
              <w:r>
                <w:rPr>
                  <w:rStyle w:val="InternetLink"/>
                  <w:rFonts w:ascii="Times New Roman;serif" w:hAnsi="Times New Roman;serif"/>
                  <w:b w:val="false"/>
                  <w:color w:val="0000FF"/>
                  <w:sz w:val="20"/>
                  <w:u w:val="single"/>
                </w:rPr>
                <w:t>CONDENSED CONSOLIDATED STATEMENTS OF CASH FLOWS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34">
              <w:r>
                <w:rPr>
                  <w:rStyle w:val="InternetLink"/>
                  <w:rFonts w:ascii="Times New Roman;serif" w:hAnsi="Times New Roman;serif"/>
                  <w:b w:val="false"/>
                  <w:strike w:val="false"/>
                  <w:dstrike w:val="false"/>
                  <w:color w:val="000000"/>
                  <w:sz w:val="20"/>
                  <w:u w:val="none"/>
                  <w:effect w:val="none"/>
                </w:rPr>
                <w:t>8</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37">
              <w:r>
                <w:rPr>
                  <w:rStyle w:val="InternetLink"/>
                  <w:rFonts w:ascii="Times New Roman;serif" w:hAnsi="Times New Roman;serif"/>
                  <w:b w:val="false"/>
                  <w:color w:val="0000FF"/>
                  <w:sz w:val="20"/>
                  <w:u w:val="single"/>
                </w:rPr>
                <w:t>NOTES TO CONDENSED CONSOLIDATED FINANCIAL STATEMENTS (Unaudited)</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37">
              <w:r>
                <w:rPr>
                  <w:rStyle w:val="InternetLink"/>
                  <w:rFonts w:ascii="Times New Roman;serif" w:hAnsi="Times New Roman;serif"/>
                  <w:b w:val="false"/>
                  <w:strike w:val="false"/>
                  <w:dstrike w:val="false"/>
                  <w:color w:val="000000"/>
                  <w:sz w:val="20"/>
                  <w:u w:val="none"/>
                  <w:effect w:val="none"/>
                </w:rPr>
                <w:t>10</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40">
              <w:r>
                <w:rPr>
                  <w:rStyle w:val="InternetLink"/>
                  <w:rFonts w:ascii="Times New Roman;serif" w:hAnsi="Times New Roman;serif"/>
                  <w:b w:val="false"/>
                  <w:color w:val="0000FF"/>
                  <w:sz w:val="20"/>
                  <w:u w:val="single"/>
                </w:rPr>
                <w:t>NOTE 1 – NATURE OF OPERATIONS AND BASIS OF PRESENTATION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40">
              <w:r>
                <w:rPr>
                  <w:rStyle w:val="InternetLink"/>
                  <w:rFonts w:ascii="Times New Roman;serif" w:hAnsi="Times New Roman;serif"/>
                  <w:b w:val="false"/>
                  <w:strike w:val="false"/>
                  <w:dstrike w:val="false"/>
                  <w:color w:val="000000"/>
                  <w:sz w:val="20"/>
                  <w:u w:val="none"/>
                  <w:effect w:val="none"/>
                </w:rPr>
                <w:t>10</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43">
              <w:r>
                <w:rPr>
                  <w:rStyle w:val="InternetLink"/>
                  <w:rFonts w:ascii="Times New Roman;serif" w:hAnsi="Times New Roman;serif"/>
                  <w:b w:val="false"/>
                  <w:color w:val="0000FF"/>
                  <w:sz w:val="20"/>
                  <w:u w:val="single"/>
                </w:rPr>
                <w:t>NOTE 2 – REVENUE</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43">
              <w:r>
                <w:rPr>
                  <w:rStyle w:val="InternetLink"/>
                  <w:rFonts w:ascii="Times New Roman;serif" w:hAnsi="Times New Roman;serif"/>
                  <w:b w:val="false"/>
                  <w:strike w:val="false"/>
                  <w:dstrike w:val="false"/>
                  <w:color w:val="000000"/>
                  <w:sz w:val="20"/>
                  <w:u w:val="none"/>
                  <w:effect w:val="none"/>
                </w:rPr>
                <w:t>12</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46">
              <w:r>
                <w:rPr>
                  <w:rStyle w:val="InternetLink"/>
                  <w:rFonts w:ascii="Times New Roman;serif" w:hAnsi="Times New Roman;serif"/>
                  <w:b w:val="false"/>
                  <w:color w:val="0000FF"/>
                  <w:sz w:val="20"/>
                  <w:u w:val="single"/>
                </w:rPr>
                <w:t>NOTE 3 – INVENTORIES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46">
              <w:r>
                <w:rPr>
                  <w:rStyle w:val="InternetLink"/>
                  <w:rFonts w:ascii="Times New Roman;serif" w:hAnsi="Times New Roman;serif"/>
                  <w:b w:val="false"/>
                  <w:strike w:val="false"/>
                  <w:dstrike w:val="false"/>
                  <w:color w:val="000000"/>
                  <w:sz w:val="20"/>
                  <w:u w:val="none"/>
                  <w:effect w:val="none"/>
                </w:rPr>
                <w:t>14</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52">
              <w:r>
                <w:rPr>
                  <w:rStyle w:val="InternetLink"/>
                  <w:rFonts w:ascii="Times New Roman;serif" w:hAnsi="Times New Roman;serif"/>
                  <w:b w:val="false"/>
                  <w:color w:val="000080"/>
                  <w:sz w:val="20"/>
                  <w:u w:val="single"/>
                </w:rPr>
                <w:t xml:space="preserve">NOTE </w:t>
              </w:r>
            </w:hyperlink>
            <w:hyperlink w:anchor="ic82f18d41b884c5e85aa6447e1ae98a4_52">
              <w:r>
                <w:rPr>
                  <w:rStyle w:val="InternetLink"/>
                  <w:rFonts w:ascii="Times New Roman;serif" w:hAnsi="Times New Roman;serif"/>
                  <w:b w:val="false"/>
                  <w:color w:val="000080"/>
                  <w:sz w:val="20"/>
                  <w:u w:val="single"/>
                </w:rPr>
                <w:t>4</w:t>
              </w:r>
            </w:hyperlink>
            <w:hyperlink w:anchor="ic82f18d41b884c5e85aa6447e1ae98a4_52">
              <w:r>
                <w:rPr>
                  <w:rStyle w:val="InternetLink"/>
                  <w:rFonts w:ascii="Times New Roman;serif" w:hAnsi="Times New Roman;serif"/>
                  <w:b w:val="false"/>
                  <w:color w:val="000080"/>
                  <w:sz w:val="20"/>
                  <w:u w:val="single"/>
                </w:rPr>
                <w:t xml:space="preserve"> – PROPERTY, PLANT AND EQUIPMENT</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52">
              <w:r>
                <w:rPr>
                  <w:rStyle w:val="InternetLink"/>
                  <w:rFonts w:ascii="Times New Roman;serif" w:hAnsi="Times New Roman;serif"/>
                  <w:b w:val="false"/>
                  <w:strike w:val="false"/>
                  <w:dstrike w:val="false"/>
                  <w:color w:val="000000"/>
                  <w:sz w:val="20"/>
                  <w:u w:val="none"/>
                  <w:effect w:val="none"/>
                </w:rPr>
                <w:t>14</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55">
              <w:r>
                <w:rPr>
                  <w:rStyle w:val="InternetLink"/>
                  <w:rFonts w:ascii="Times New Roman;serif" w:hAnsi="Times New Roman;serif"/>
                  <w:b w:val="false"/>
                  <w:color w:val="000080"/>
                  <w:sz w:val="20"/>
                  <w:u w:val="single"/>
                </w:rPr>
                <w:t xml:space="preserve">NOTE </w:t>
              </w:r>
            </w:hyperlink>
            <w:hyperlink w:anchor="ic82f18d41b884c5e85aa6447e1ae98a4_55">
              <w:r>
                <w:rPr>
                  <w:rStyle w:val="InternetLink"/>
                  <w:rFonts w:ascii="Times New Roman;serif" w:hAnsi="Times New Roman;serif"/>
                  <w:b w:val="false"/>
                  <w:color w:val="000080"/>
                  <w:sz w:val="20"/>
                  <w:u w:val="single"/>
                </w:rPr>
                <w:t>5</w:t>
              </w:r>
            </w:hyperlink>
            <w:hyperlink w:anchor="ic82f18d41b884c5e85aa6447e1ae98a4_55">
              <w:r>
                <w:rPr>
                  <w:rStyle w:val="InternetLink"/>
                  <w:rFonts w:ascii="Times New Roman;serif" w:hAnsi="Times New Roman;serif"/>
                  <w:b w:val="false"/>
                  <w:color w:val="000080"/>
                  <w:sz w:val="20"/>
                  <w:u w:val="single"/>
                </w:rPr>
                <w:t xml:space="preserve"> – LEASES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55">
              <w:r>
                <w:rPr>
                  <w:rStyle w:val="InternetLink"/>
                  <w:rFonts w:ascii="Times New Roman;serif" w:hAnsi="Times New Roman;serif"/>
                  <w:b w:val="false"/>
                  <w:strike w:val="false"/>
                  <w:dstrike w:val="false"/>
                  <w:color w:val="000000"/>
                  <w:sz w:val="20"/>
                  <w:u w:val="none"/>
                  <w:effect w:val="none"/>
                </w:rPr>
                <w:t>14</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58">
              <w:r>
                <w:rPr>
                  <w:rStyle w:val="InternetLink"/>
                  <w:rFonts w:ascii="Times New Roman;serif" w:hAnsi="Times New Roman;serif"/>
                  <w:b w:val="false"/>
                  <w:color w:val="000080"/>
                  <w:sz w:val="20"/>
                  <w:u w:val="single"/>
                </w:rPr>
                <w:t xml:space="preserve">NOTE </w:t>
              </w:r>
            </w:hyperlink>
            <w:hyperlink w:anchor="ic82f18d41b884c5e85aa6447e1ae98a4_58">
              <w:r>
                <w:rPr>
                  <w:rStyle w:val="InternetLink"/>
                  <w:rFonts w:ascii="Times New Roman;serif" w:hAnsi="Times New Roman;serif"/>
                  <w:b w:val="false"/>
                  <w:color w:val="000080"/>
                  <w:sz w:val="20"/>
                  <w:u w:val="single"/>
                </w:rPr>
                <w:t>6</w:t>
              </w:r>
            </w:hyperlink>
            <w:hyperlink w:anchor="ic82f18d41b884c5e85aa6447e1ae98a4_58">
              <w:r>
                <w:rPr>
                  <w:rStyle w:val="InternetLink"/>
                  <w:rFonts w:ascii="Times New Roman;serif" w:hAnsi="Times New Roman;serif"/>
                  <w:b w:val="false"/>
                  <w:color w:val="000080"/>
                  <w:sz w:val="20"/>
                  <w:u w:val="single"/>
                </w:rPr>
                <w:t xml:space="preserve"> – INCOME TAXES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58">
              <w:r>
                <w:rPr>
                  <w:rStyle w:val="InternetLink"/>
                  <w:rFonts w:ascii="Times New Roman;serif" w:hAnsi="Times New Roman;serif"/>
                  <w:b w:val="false"/>
                  <w:strike w:val="false"/>
                  <w:dstrike w:val="false"/>
                  <w:color w:val="000000"/>
                  <w:sz w:val="20"/>
                  <w:u w:val="none"/>
                  <w:effect w:val="none"/>
                </w:rPr>
                <w:t>15</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61">
              <w:r>
                <w:rPr>
                  <w:rStyle w:val="InternetLink"/>
                  <w:rFonts w:ascii="Times New Roman;serif" w:hAnsi="Times New Roman;serif"/>
                  <w:b w:val="false"/>
                  <w:color w:val="000080"/>
                  <w:sz w:val="20"/>
                  <w:u w:val="single"/>
                </w:rPr>
                <w:t xml:space="preserve">NOTE </w:t>
              </w:r>
            </w:hyperlink>
            <w:hyperlink w:anchor="ic82f18d41b884c5e85aa6447e1ae98a4_61">
              <w:r>
                <w:rPr>
                  <w:rStyle w:val="InternetLink"/>
                  <w:rFonts w:ascii="Times New Roman;serif" w:hAnsi="Times New Roman;serif"/>
                  <w:b w:val="false"/>
                  <w:color w:val="000080"/>
                  <w:sz w:val="20"/>
                  <w:u w:val="single"/>
                </w:rPr>
                <w:t>7</w:t>
              </w:r>
            </w:hyperlink>
            <w:hyperlink w:anchor="ic82f18d41b884c5e85aa6447e1ae98a4_61">
              <w:r>
                <w:rPr>
                  <w:rStyle w:val="InternetLink"/>
                  <w:rFonts w:ascii="Times New Roman;serif" w:hAnsi="Times New Roman;serif"/>
                  <w:b w:val="false"/>
                  <w:color w:val="000080"/>
                  <w:sz w:val="20"/>
                  <w:u w:val="single"/>
                </w:rPr>
                <w:t xml:space="preserve"> – COMMITMENTS AND CONTINGENT LIABILITIES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61">
              <w:r>
                <w:rPr>
                  <w:rStyle w:val="InternetLink"/>
                  <w:rFonts w:ascii="Times New Roman;serif" w:hAnsi="Times New Roman;serif"/>
                  <w:b w:val="false"/>
                  <w:strike w:val="false"/>
                  <w:dstrike w:val="false"/>
                  <w:color w:val="000000"/>
                  <w:sz w:val="20"/>
                  <w:u w:val="none"/>
                  <w:effect w:val="none"/>
                </w:rPr>
                <w:t>16</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64">
              <w:r>
                <w:rPr>
                  <w:rStyle w:val="InternetLink"/>
                  <w:rFonts w:ascii="Times New Roman;serif" w:hAnsi="Times New Roman;serif"/>
                  <w:b w:val="false"/>
                  <w:color w:val="000080"/>
                  <w:sz w:val="20"/>
                  <w:u w:val="single"/>
                </w:rPr>
                <w:t xml:space="preserve">NOTE </w:t>
              </w:r>
            </w:hyperlink>
            <w:hyperlink w:anchor="ic82f18d41b884c5e85aa6447e1ae98a4_64">
              <w:r>
                <w:rPr>
                  <w:rStyle w:val="InternetLink"/>
                  <w:rFonts w:ascii="Times New Roman;serif" w:hAnsi="Times New Roman;serif"/>
                  <w:b w:val="false"/>
                  <w:color w:val="000080"/>
                  <w:sz w:val="20"/>
                  <w:u w:val="single"/>
                </w:rPr>
                <w:t>8</w:t>
              </w:r>
            </w:hyperlink>
            <w:hyperlink w:anchor="ic82f18d41b884c5e85aa6447e1ae98a4_64">
              <w:r>
                <w:rPr>
                  <w:rStyle w:val="InternetLink"/>
                  <w:rFonts w:ascii="Times New Roman;serif" w:hAnsi="Times New Roman;serif"/>
                  <w:b w:val="false"/>
                  <w:color w:val="000080"/>
                  <w:sz w:val="20"/>
                  <w:u w:val="single"/>
                </w:rPr>
                <w:t xml:space="preserve"> – DEFINED BENEFIT PENSION PLANS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64">
              <w:r>
                <w:rPr>
                  <w:rStyle w:val="InternetLink"/>
                  <w:rFonts w:ascii="Times New Roman;serif" w:hAnsi="Times New Roman;serif"/>
                  <w:b w:val="false"/>
                  <w:strike w:val="false"/>
                  <w:dstrike w:val="false"/>
                  <w:color w:val="000000"/>
                  <w:sz w:val="20"/>
                  <w:u w:val="none"/>
                  <w:effect w:val="none"/>
                </w:rPr>
                <w:t>17</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67">
              <w:r>
                <w:rPr>
                  <w:rStyle w:val="InternetLink"/>
                  <w:rFonts w:ascii="Times New Roman;serif" w:hAnsi="Times New Roman;serif"/>
                  <w:b w:val="false"/>
                  <w:color w:val="000080"/>
                  <w:sz w:val="20"/>
                  <w:u w:val="single"/>
                </w:rPr>
                <w:t xml:space="preserve">NOTE </w:t>
              </w:r>
            </w:hyperlink>
            <w:hyperlink w:anchor="ic82f18d41b884c5e85aa6447e1ae98a4_67">
              <w:r>
                <w:rPr>
                  <w:rStyle w:val="InternetLink"/>
                  <w:rFonts w:ascii="Times New Roman;serif" w:hAnsi="Times New Roman;serif"/>
                  <w:b w:val="false"/>
                  <w:color w:val="000080"/>
                  <w:sz w:val="20"/>
                  <w:u w:val="single"/>
                </w:rPr>
                <w:t>9</w:t>
              </w:r>
            </w:hyperlink>
            <w:hyperlink w:anchor="ic82f18d41b884c5e85aa6447e1ae98a4_67">
              <w:r>
                <w:rPr>
                  <w:rStyle w:val="InternetLink"/>
                  <w:rFonts w:ascii="Times New Roman;serif" w:hAnsi="Times New Roman;serif"/>
                  <w:b w:val="false"/>
                  <w:color w:val="000080"/>
                  <w:sz w:val="20"/>
                  <w:u w:val="single"/>
                </w:rPr>
                <w:t xml:space="preserve"> –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67">
              <w:r>
                <w:rPr>
                  <w:rStyle w:val="InternetLink"/>
                  <w:rFonts w:ascii="Times New Roman;serif" w:hAnsi="Times New Roman;serif"/>
                  <w:b w:val="false"/>
                  <w:strike w:val="false"/>
                  <w:dstrike w:val="false"/>
                  <w:color w:val="000000"/>
                  <w:sz w:val="20"/>
                  <w:u w:val="none"/>
                  <w:effect w:val="none"/>
                </w:rPr>
                <w:t>17</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70">
              <w:r>
                <w:rPr>
                  <w:rStyle w:val="InternetLink"/>
                  <w:rFonts w:ascii="Times New Roman;serif" w:hAnsi="Times New Roman;serif"/>
                  <w:b w:val="false"/>
                  <w:color w:val="000080"/>
                  <w:sz w:val="20"/>
                  <w:u w:val="single"/>
                </w:rPr>
                <w:t>NOTE 1</w:t>
              </w:r>
            </w:hyperlink>
            <w:hyperlink w:anchor="ic82f18d41b884c5e85aa6447e1ae98a4_70">
              <w:r>
                <w:rPr>
                  <w:rStyle w:val="InternetLink"/>
                  <w:rFonts w:ascii="Times New Roman;serif" w:hAnsi="Times New Roman;serif"/>
                  <w:b w:val="false"/>
                  <w:color w:val="000080"/>
                  <w:sz w:val="20"/>
                  <w:u w:val="single"/>
                </w:rPr>
                <w:t>0</w:t>
              </w:r>
            </w:hyperlink>
            <w:hyperlink w:anchor="ic82f18d41b884c5e85aa6447e1ae98a4_70">
              <w:r>
                <w:rPr>
                  <w:rStyle w:val="InternetLink"/>
                  <w:rFonts w:ascii="Times New Roman;serif" w:hAnsi="Times New Roman;serif"/>
                  <w:b w:val="false"/>
                  <w:color w:val="000080"/>
                  <w:sz w:val="20"/>
                  <w:u w:val="single"/>
                </w:rPr>
                <w:t xml:space="preserve"> – ACCUMULATED OTHER COMPREHENSIVE INCOME</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70">
              <w:r>
                <w:rPr>
                  <w:rStyle w:val="InternetLink"/>
                  <w:rFonts w:ascii="Times New Roman;serif" w:hAnsi="Times New Roman;serif"/>
                  <w:b w:val="false"/>
                  <w:strike w:val="false"/>
                  <w:dstrike w:val="false"/>
                  <w:color w:val="000000"/>
                  <w:sz w:val="20"/>
                  <w:u w:val="none"/>
                  <w:effect w:val="none"/>
                </w:rPr>
                <w:t>18</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c82f18d41b884c5e85aa6447e1ae98a4_76">
              <w:r>
                <w:rPr>
                  <w:rStyle w:val="InternetLink"/>
                  <w:rFonts w:ascii="Times New Roman;serif" w:hAnsi="Times New Roman;serif"/>
                  <w:b w:val="false"/>
                  <w:color w:val="000080"/>
                  <w:sz w:val="20"/>
                  <w:u w:val="single"/>
                </w:rPr>
                <w:t>NOTE 1</w:t>
              </w:r>
            </w:hyperlink>
            <w:hyperlink w:anchor="ic82f18d41b884c5e85aa6447e1ae98a4_76">
              <w:r>
                <w:rPr>
                  <w:rStyle w:val="InternetLink"/>
                  <w:rFonts w:ascii="Times New Roman;serif" w:hAnsi="Times New Roman;serif"/>
                  <w:b w:val="false"/>
                  <w:color w:val="000080"/>
                  <w:sz w:val="20"/>
                  <w:u w:val="single"/>
                </w:rPr>
                <w:t>1</w:t>
              </w:r>
            </w:hyperlink>
            <w:hyperlink w:anchor="ic82f18d41b884c5e85aa6447e1ae98a4_76">
              <w:r>
                <w:rPr>
                  <w:rStyle w:val="InternetLink"/>
                  <w:rFonts w:ascii="Times New Roman;serif" w:hAnsi="Times New Roman;serif"/>
                  <w:b w:val="false"/>
                  <w:color w:val="000080"/>
                  <w:sz w:val="20"/>
                  <w:u w:val="single"/>
                </w:rPr>
                <w:t xml:space="preserve"> – EARNINGS PER SHARE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76">
              <w:r>
                <w:rPr>
                  <w:rStyle w:val="InternetLink"/>
                  <w:rFonts w:ascii="Times New Roman;serif" w:hAnsi="Times New Roman;serif"/>
                  <w:b w:val="false"/>
                  <w:strike w:val="false"/>
                  <w:dstrike w:val="false"/>
                  <w:color w:val="000000"/>
                  <w:sz w:val="20"/>
                  <w:u w:val="none"/>
                  <w:effect w:val="none"/>
                </w:rPr>
                <w:t>18</w:t>
              </w:r>
            </w:hyperlink>
          </w:p>
        </w:tc>
      </w:tr>
      <w:tr>
        <w:trPr/>
        <w:tc>
          <w:tcPr>
            <w:tcW w:w="9641" w:type="dxa"/>
            <w:gridSpan w:val="6"/>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79">
              <w:r>
                <w:rPr>
                  <w:rStyle w:val="InternetLink"/>
                  <w:rFonts w:ascii="Times New Roman;serif" w:hAnsi="Times New Roman;serif"/>
                  <w:b w:val="false"/>
                  <w:color w:val="000080"/>
                  <w:sz w:val="20"/>
                  <w:u w:val="single"/>
                </w:rPr>
                <w:t>NOTE 1</w:t>
              </w:r>
            </w:hyperlink>
            <w:hyperlink w:anchor="ic82f18d41b884c5e85aa6447e1ae98a4_79">
              <w:r>
                <w:rPr>
                  <w:rStyle w:val="InternetLink"/>
                  <w:rFonts w:ascii="Times New Roman;serif" w:hAnsi="Times New Roman;serif"/>
                  <w:b w:val="false"/>
                  <w:color w:val="000080"/>
                  <w:sz w:val="20"/>
                  <w:u w:val="single"/>
                </w:rPr>
                <w:t>2</w:t>
              </w:r>
            </w:hyperlink>
            <w:hyperlink w:anchor="ic82f18d41b884c5e85aa6447e1ae98a4_79">
              <w:r>
                <w:rPr>
                  <w:rStyle w:val="InternetLink"/>
                  <w:rFonts w:ascii="Times New Roman;serif" w:hAnsi="Times New Roman;serif"/>
                  <w:b w:val="false"/>
                  <w:color w:val="000080"/>
                  <w:sz w:val="20"/>
                  <w:u w:val="single"/>
                </w:rPr>
                <w:t xml:space="preserve"> – BUSINESS COMBINATION</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79">
              <w:r>
                <w:rPr>
                  <w:rStyle w:val="InternetLink"/>
                  <w:rFonts w:ascii="Times New Roman;serif" w:hAnsi="Times New Roman;serif"/>
                  <w:b w:val="false"/>
                  <w:strike w:val="false"/>
                  <w:dstrike w:val="false"/>
                  <w:color w:val="000000"/>
                  <w:sz w:val="20"/>
                  <w:u w:val="none"/>
                  <w:effect w:val="none"/>
                </w:rPr>
                <w:t>19</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82">
              <w:r>
                <w:rPr>
                  <w:rStyle w:val="InternetLink"/>
                  <w:rFonts w:ascii="Times New Roman;serif" w:hAnsi="Times New Roman;serif"/>
                  <w:b w:val="false"/>
                  <w:color w:val="000080"/>
                  <w:sz w:val="20"/>
                  <w:u w:val="single"/>
                </w:rPr>
                <w:t>NOTE 1</w:t>
              </w:r>
            </w:hyperlink>
            <w:hyperlink w:anchor="ic82f18d41b884c5e85aa6447e1ae98a4_82">
              <w:r>
                <w:rPr>
                  <w:rStyle w:val="InternetLink"/>
                  <w:rFonts w:ascii="Times New Roman;serif" w:hAnsi="Times New Roman;serif"/>
                  <w:b w:val="false"/>
                  <w:color w:val="000080"/>
                  <w:sz w:val="20"/>
                  <w:u w:val="single"/>
                </w:rPr>
                <w:t>3</w:t>
              </w:r>
            </w:hyperlink>
            <w:hyperlink w:anchor="ic82f18d41b884c5e85aa6447e1ae98a4_82">
              <w:r>
                <w:rPr>
                  <w:rStyle w:val="InternetLink"/>
                  <w:rFonts w:ascii="Times New Roman;serif" w:hAnsi="Times New Roman;serif"/>
                  <w:b w:val="false"/>
                  <w:color w:val="000080"/>
                  <w:sz w:val="20"/>
                  <w:u w:val="single"/>
                </w:rPr>
                <w:t xml:space="preserve"> – SEGMENTS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82">
              <w:r>
                <w:rPr>
                  <w:rStyle w:val="InternetLink"/>
                  <w:rFonts w:ascii="Times New Roman;serif" w:hAnsi="Times New Roman;serif"/>
                  <w:b w:val="false"/>
                  <w:strike w:val="false"/>
                  <w:dstrike w:val="false"/>
                  <w:color w:val="000000"/>
                  <w:sz w:val="20"/>
                  <w:u w:val="none"/>
                  <w:effect w:val="none"/>
                </w:rPr>
                <w:t>22</w:t>
              </w:r>
            </w:hyperlink>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8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88">
              <w:r>
                <w:rPr>
                  <w:rStyle w:val="InternetLink"/>
                  <w:rFonts w:ascii="Times New Roman;serif" w:hAnsi="Times New Roman;serif"/>
                  <w:b w:val="false"/>
                  <w:strike w:val="false"/>
                  <w:dstrike w:val="false"/>
                  <w:color w:val="000000"/>
                  <w:sz w:val="20"/>
                  <w:u w:val="none"/>
                  <w:effect w:val="none"/>
                </w:rPr>
                <w:t>27</w:t>
              </w:r>
            </w:hyperlink>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24">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24">
              <w:r>
                <w:rPr>
                  <w:rStyle w:val="InternetLink"/>
                  <w:rFonts w:ascii="Times New Roman;serif" w:hAnsi="Times New Roman;serif"/>
                  <w:b w:val="false"/>
                  <w:color w:val="0000FF"/>
                  <w:sz w:val="20"/>
                  <w:u w:val="single"/>
                </w:rPr>
                <w:t>Quantitative and Qualitative Disclosure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24">
              <w:r>
                <w:rPr>
                  <w:rStyle w:val="InternetLink"/>
                  <w:rFonts w:ascii="Times New Roman;serif" w:hAnsi="Times New Roman;serif"/>
                  <w:b w:val="false"/>
                  <w:strike w:val="false"/>
                  <w:dstrike w:val="false"/>
                  <w:color w:val="000000"/>
                  <w:sz w:val="20"/>
                  <w:u w:val="none"/>
                  <w:effect w:val="none"/>
                </w:rPr>
                <w:t>37</w:t>
              </w:r>
            </w:hyperlink>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27">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27">
              <w:r>
                <w:rPr>
                  <w:rStyle w:val="InternetLink"/>
                  <w:rFonts w:ascii="Times New Roman;serif" w:hAnsi="Times New Roman;serif"/>
                  <w:b w:val="false"/>
                  <w:color w:val="0000FF"/>
                  <w:sz w:val="20"/>
                  <w:u w:val="single"/>
                </w:rPr>
                <w:t>Controls and Procedures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27">
              <w:r>
                <w:rPr>
                  <w:rStyle w:val="InternetLink"/>
                  <w:rFonts w:ascii="Times New Roman;serif" w:hAnsi="Times New Roman;serif"/>
                  <w:b w:val="false"/>
                  <w:strike w:val="false"/>
                  <w:dstrike w:val="false"/>
                  <w:color w:val="000000"/>
                  <w:sz w:val="20"/>
                  <w:u w:val="none"/>
                  <w:effect w:val="none"/>
                </w:rPr>
                <w:t>38</w:t>
              </w:r>
            </w:hyperlink>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3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33">
              <w:r>
                <w:rPr>
                  <w:rStyle w:val="InternetLink"/>
                  <w:rFonts w:ascii="Times New Roman;serif" w:hAnsi="Times New Roman;serif"/>
                  <w:b w:val="false"/>
                  <w:color w:val="0000FF"/>
                  <w:sz w:val="20"/>
                  <w:u w:val="single"/>
                </w:rPr>
                <w:t>Legal Proceedings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33">
              <w:r>
                <w:rPr>
                  <w:rStyle w:val="InternetLink"/>
                  <w:rFonts w:ascii="Times New Roman;serif" w:hAnsi="Times New Roman;serif"/>
                  <w:b w:val="false"/>
                  <w:strike w:val="false"/>
                  <w:dstrike w:val="false"/>
                  <w:color w:val="000000"/>
                  <w:sz w:val="20"/>
                  <w:u w:val="none"/>
                  <w:effect w:val="none"/>
                </w:rPr>
                <w:t>40</w:t>
              </w:r>
            </w:hyperlink>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36">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36">
              <w:r>
                <w:rPr>
                  <w:rStyle w:val="InternetLink"/>
                  <w:rFonts w:ascii="Times New Roman;serif" w:hAnsi="Times New Roman;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36">
              <w:r>
                <w:rPr>
                  <w:rStyle w:val="InternetLink"/>
                  <w:rFonts w:ascii="Times New Roman;serif" w:hAnsi="Times New Roman;serif"/>
                  <w:b w:val="false"/>
                  <w:strike w:val="false"/>
                  <w:dstrike w:val="false"/>
                  <w:color w:val="000000"/>
                  <w:sz w:val="20"/>
                  <w:u w:val="none"/>
                  <w:effect w:val="none"/>
                </w:rPr>
                <w:t>40</w:t>
              </w:r>
            </w:hyperlink>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39">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39">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39">
              <w:r>
                <w:rPr>
                  <w:rStyle w:val="InternetLink"/>
                  <w:rFonts w:ascii="Times New Roman;serif" w:hAnsi="Times New Roman;serif"/>
                  <w:b w:val="false"/>
                  <w:strike w:val="false"/>
                  <w:dstrike w:val="false"/>
                  <w:color w:val="000000"/>
                  <w:sz w:val="20"/>
                  <w:u w:val="none"/>
                  <w:effect w:val="none"/>
                </w:rPr>
                <w:t>40</w:t>
              </w:r>
            </w:hyperlink>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42">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42">
              <w:r>
                <w:rPr>
                  <w:rStyle w:val="InternetLink"/>
                  <w:rFonts w:ascii="Times New Roman;serif" w:hAnsi="Times New Roman;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42">
              <w:r>
                <w:rPr>
                  <w:rStyle w:val="InternetLink"/>
                  <w:rFonts w:ascii="Times New Roman;serif" w:hAnsi="Times New Roman;serif"/>
                  <w:b w:val="false"/>
                  <w:strike w:val="false"/>
                  <w:dstrike w:val="false"/>
                  <w:color w:val="000000"/>
                  <w:sz w:val="20"/>
                  <w:u w:val="none"/>
                  <w:effect w:val="none"/>
                </w:rPr>
                <w:t>40</w:t>
              </w:r>
            </w:hyperlink>
          </w:p>
        </w:tc>
      </w:tr>
      <w:tr>
        <w:trPr/>
        <w:tc>
          <w:tcPr>
            <w:tcW w:w="227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ic82f18d41b884c5e85aa6447e1ae98a4_145">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45">
              <w:r>
                <w:rPr>
                  <w:rStyle w:val="InternetLink"/>
                  <w:rFonts w:ascii="Times New Roman;serif" w:hAnsi="Times New Roman;serif"/>
                  <w:b w:val="false"/>
                  <w:color w:val="0000FF"/>
                  <w:sz w:val="20"/>
                  <w:u w:val="single"/>
                </w:rPr>
                <w:t>Exhibits</w:t>
              </w:r>
            </w:hyperlink>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45">
              <w:r>
                <w:rPr>
                  <w:rStyle w:val="InternetLink"/>
                  <w:rFonts w:ascii="Times New Roman;serif" w:hAnsi="Times New Roman;serif"/>
                  <w:b w:val="false"/>
                  <w:strike w:val="false"/>
                  <w:dstrike w:val="false"/>
                  <w:color w:val="000000"/>
                  <w:sz w:val="20"/>
                  <w:u w:val="none"/>
                  <w:effect w:val="none"/>
                </w:rPr>
                <w:t>41</w:t>
              </w:r>
            </w:hyperlink>
          </w:p>
        </w:tc>
      </w:tr>
      <w:tr>
        <w:trPr/>
        <w:tc>
          <w:tcPr>
            <w:tcW w:w="9641"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c82f18d41b884c5e85aa6447e1ae98a4_148">
              <w:r>
                <w:rPr>
                  <w:rStyle w:val="InternetLink"/>
                  <w:rFonts w:ascii="Times New Roman;serif" w:hAnsi="Times New Roman;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82f18d41b884c5e85aa6447e1ae98a4_148">
              <w:r>
                <w:rPr>
                  <w:rStyle w:val="InternetLink"/>
                  <w:rFonts w:ascii="Times New Roman;serif" w:hAnsi="Times New Roman;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 (Unaudited)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share data)</w:t>
      </w:r>
    </w:p>
    <w:tbl>
      <w:tblPr>
        <w:tblW w:w="10205" w:type="dxa"/>
        <w:jc w:val="left"/>
        <w:tblInd w:w="0" w:type="dxa"/>
        <w:tblLayout w:type="fixed"/>
        <w:tblCellMar>
          <w:top w:w="28" w:type="dxa"/>
          <w:left w:w="28" w:type="dxa"/>
          <w:bottom w:w="28" w:type="dxa"/>
          <w:right w:w="28" w:type="dxa"/>
        </w:tblCellMar>
      </w:tblPr>
      <w:tblGrid>
        <w:gridCol w:w="2853"/>
        <w:gridCol w:w="2199"/>
        <w:gridCol w:w="2188"/>
        <w:gridCol w:w="211"/>
        <w:gridCol w:w="976"/>
        <w:gridCol w:w="109"/>
        <w:gridCol w:w="109"/>
        <w:gridCol w:w="109"/>
        <w:gridCol w:w="109"/>
        <w:gridCol w:w="211"/>
        <w:gridCol w:w="976"/>
        <w:gridCol w:w="155"/>
      </w:tblGrid>
      <w:tr>
        <w:trPr/>
        <w:tc>
          <w:tcPr>
            <w:tcW w:w="285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98,512 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$395 and $505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82,342 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39,698 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897,033 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877,730 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167,899 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320,261 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334,726 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Right of use assets operating leases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167,162 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2,015,711 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2,008,279 </w:t>
            </w:r>
          </w:p>
        </w:tc>
        <w:tc>
          <w:tcPr>
            <w:tcW w:w="155"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234,642 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taxes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46,908 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452,601 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461,254 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Long-term debt, less current portion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493,751 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488,949 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Long-term loans from shareholders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24,315 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1,191,417 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1,193,328 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$1.00 par value: 79,300,000 and 79,300,000 shares authorized as of June 30, 2026 and December 31, 2025, respectively; and 77,216,828 and 76,998,754 shares outstanding as of June 30, 2026 and December 31, 2025, respectively.</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76,999 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28,183 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Shareholders’ equity attributable to Aebi Schmidt Holding AG</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824,304 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814,901 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824,294 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814,951 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2,015,711 </w:t>
            </w:r>
          </w:p>
        </w:tc>
        <w:tc>
          <w:tcPr>
            <w:tcW w:w="109"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2,008,279 </w:t>
            </w:r>
          </w:p>
        </w:tc>
        <w:tc>
          <w:tcPr>
            <w:tcW w:w="155"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605" cy="14605"/>
                <wp:effectExtent l="0" t="0" r="0" b="0"/>
                <wp:wrapNone/>
                <wp:docPr id="4" name="Frame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(Reflects the retrospective application of the 1-for-7.5 forward stock split effective July 1, 2025, see Note 1 - Nature of Operations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 (Unaudited)</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per share data)</w:t>
      </w:r>
    </w:p>
    <w:tbl>
      <w:tblPr>
        <w:tblW w:w="10205" w:type="dxa"/>
        <w:jc w:val="left"/>
        <w:tblInd w:w="0" w:type="dxa"/>
        <w:tblLayout w:type="fixed"/>
        <w:tblCellMar>
          <w:top w:w="28" w:type="dxa"/>
          <w:left w:w="28" w:type="dxa"/>
          <w:bottom w:w="28" w:type="dxa"/>
          <w:right w:w="28" w:type="dxa"/>
        </w:tblCellMar>
      </w:tblPr>
      <w:tblGrid>
        <w:gridCol w:w="1721"/>
        <w:gridCol w:w="1428"/>
        <w:gridCol w:w="14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155"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(416,791)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97,292 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56,832 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184,681 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110,138 </w:t>
            </w:r>
          </w:p>
        </w:tc>
        <w:tc>
          <w:tcPr>
            <w:tcW w:w="155"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(64,298)</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(70,252)</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(42,973)</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(142,273)</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(81,885)</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(15,806)</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(11,718)</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(17,071)</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(25,927)</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(28,616)</w:t>
            </w:r>
          </w:p>
        </w:tc>
        <w:tc>
          <w:tcPr>
            <w:tcW w:w="155"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5"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Aebi Schmidt Holding AG</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Diluted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40,352</w:t>
            </w:r>
          </w:p>
        </w:tc>
      </w:tr>
      <w:tr>
        <w:trPr/>
        <w:tc>
          <w:tcPr>
            <w:tcW w:w="4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46" w:type="dxa"/>
            <w:gridSpan w:val="3"/>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r>
    </w:tbl>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(Reflects the retrospective application of the 1-for-7.5 forward stock split effective July 1, 2025, see Note 1 - Nature of Operations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COMPREHENSIVE INCOME (LOSS) (Unaudited)</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1889"/>
        <w:gridCol w:w="1643"/>
        <w:gridCol w:w="1629"/>
        <w:gridCol w:w="211"/>
        <w:gridCol w:w="721"/>
        <w:gridCol w:w="109"/>
        <w:gridCol w:w="109"/>
        <w:gridCol w:w="109"/>
        <w:gridCol w:w="109"/>
        <w:gridCol w:w="211"/>
        <w:gridCol w:w="677"/>
        <w:gridCol w:w="109"/>
        <w:gridCol w:w="109"/>
        <w:gridCol w:w="109"/>
        <w:gridCol w:w="109"/>
        <w:gridCol w:w="211"/>
        <w:gridCol w:w="721"/>
        <w:gridCol w:w="109"/>
        <w:gridCol w:w="109"/>
        <w:gridCol w:w="109"/>
        <w:gridCol w:w="109"/>
        <w:gridCol w:w="211"/>
        <w:gridCol w:w="616"/>
        <w:gridCol w:w="157"/>
      </w:tblGrid>
      <w:tr>
        <w:trPr/>
        <w:tc>
          <w:tcPr>
            <w:tcW w:w="188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61"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(loss), net of tax</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57"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Aebi Schmidt Holding AG</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(2,670)</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11,270 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5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(Reflects the retrospective application of the 1-for-7.5 forward stock split effective July 1, 2025, see Note 1 - Nature of Operations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EQUITY (Unaudited)</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share data)</w:t>
      </w:r>
    </w:p>
    <w:tbl>
      <w:tblPr>
        <w:tblW w:w="14328" w:type="dxa"/>
        <w:jc w:val="left"/>
        <w:tblInd w:w="0" w:type="dxa"/>
        <w:tblLayout w:type="fixed"/>
        <w:tblCellMar>
          <w:top w:w="28" w:type="dxa"/>
          <w:left w:w="28" w:type="dxa"/>
          <w:bottom w:w="28" w:type="dxa"/>
          <w:right w:w="28" w:type="dxa"/>
        </w:tblCellMar>
      </w:tblPr>
      <w:tblGrid>
        <w:gridCol w:w="724"/>
        <w:gridCol w:w="268"/>
        <w:gridCol w:w="269"/>
        <w:gridCol w:w="109"/>
        <w:gridCol w:w="109"/>
        <w:gridCol w:w="109"/>
        <w:gridCol w:w="344"/>
        <w:gridCol w:w="344"/>
        <w:gridCol w:w="348"/>
        <w:gridCol w:w="109"/>
        <w:gridCol w:w="109"/>
        <w:gridCol w:w="109"/>
        <w:gridCol w:w="211"/>
        <w:gridCol w:w="721"/>
        <w:gridCol w:w="109"/>
        <w:gridCol w:w="109"/>
        <w:gridCol w:w="109"/>
        <w:gridCol w:w="109"/>
        <w:gridCol w:w="211"/>
        <w:gridCol w:w="826"/>
        <w:gridCol w:w="109"/>
        <w:gridCol w:w="109"/>
        <w:gridCol w:w="109"/>
        <w:gridCol w:w="109"/>
        <w:gridCol w:w="237"/>
        <w:gridCol w:w="541"/>
        <w:gridCol w:w="123"/>
        <w:gridCol w:w="109"/>
        <w:gridCol w:w="109"/>
        <w:gridCol w:w="109"/>
        <w:gridCol w:w="211"/>
        <w:gridCol w:w="721"/>
        <w:gridCol w:w="109"/>
        <w:gridCol w:w="109"/>
        <w:gridCol w:w="109"/>
        <w:gridCol w:w="109"/>
        <w:gridCol w:w="289"/>
        <w:gridCol w:w="987"/>
        <w:gridCol w:w="150"/>
        <w:gridCol w:w="109"/>
        <w:gridCol w:w="109"/>
        <w:gridCol w:w="109"/>
        <w:gridCol w:w="237"/>
        <w:gridCol w:w="930"/>
        <w:gridCol w:w="124"/>
        <w:gridCol w:w="109"/>
        <w:gridCol w:w="109"/>
        <w:gridCol w:w="109"/>
        <w:gridCol w:w="318"/>
        <w:gridCol w:w="567"/>
        <w:gridCol w:w="166"/>
        <w:gridCol w:w="109"/>
        <w:gridCol w:w="109"/>
        <w:gridCol w:w="109"/>
        <w:gridCol w:w="211"/>
        <w:gridCol w:w="826"/>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w:t>
              <w:br/>
              <w:t>Paid-in</w:t>
              <w:br/>
              <w: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br/>
              <w: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Other </w:t>
              <w:br/>
              <w:t>Comprehensive</w:t>
              <w:br/>
              <w: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xml:space="preserve">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76,998,754</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76,999 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652,425 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57,551 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28,183 </w:t>
            </w:r>
          </w:p>
        </w:tc>
        <w:tc>
          <w:tcPr>
            <w:tcW w:w="150"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814,901 </w:t>
            </w:r>
          </w:p>
        </w:tc>
        <w:tc>
          <w:tcPr>
            <w:tcW w:w="12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814,951 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in the reporting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 net of cancellations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Aebi Schmidt RSAs and RSUs, net of tax and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Dividends declared ($0.025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77,157,983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28,730 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814,667 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814,693 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in the reporting period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Aebi Schmidt RSAs and RSUs, net of tax and cancellations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77,216,828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77,217 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654,231 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64,865 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28,248 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824,304 </w:t>
            </w:r>
          </w:p>
        </w:tc>
        <w:tc>
          <w:tcPr>
            <w:tcW w:w="12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824,294 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4163" w:type="dxa"/>
        <w:jc w:val="left"/>
        <w:tblInd w:w="0" w:type="dxa"/>
        <w:tblLayout w:type="fixed"/>
        <w:tblCellMar>
          <w:top w:w="28" w:type="dxa"/>
          <w:left w:w="28" w:type="dxa"/>
          <w:bottom w:w="28" w:type="dxa"/>
          <w:right w:w="28" w:type="dxa"/>
        </w:tblCellMar>
      </w:tblPr>
      <w:tblGrid>
        <w:gridCol w:w="559"/>
        <w:gridCol w:w="268"/>
        <w:gridCol w:w="269"/>
        <w:gridCol w:w="109"/>
        <w:gridCol w:w="109"/>
        <w:gridCol w:w="109"/>
        <w:gridCol w:w="344"/>
        <w:gridCol w:w="344"/>
        <w:gridCol w:w="348"/>
        <w:gridCol w:w="109"/>
        <w:gridCol w:w="109"/>
        <w:gridCol w:w="109"/>
        <w:gridCol w:w="211"/>
        <w:gridCol w:w="721"/>
        <w:gridCol w:w="109"/>
        <w:gridCol w:w="109"/>
        <w:gridCol w:w="109"/>
        <w:gridCol w:w="109"/>
        <w:gridCol w:w="211"/>
        <w:gridCol w:w="826"/>
        <w:gridCol w:w="109"/>
        <w:gridCol w:w="109"/>
        <w:gridCol w:w="109"/>
        <w:gridCol w:w="109"/>
        <w:gridCol w:w="237"/>
        <w:gridCol w:w="541"/>
        <w:gridCol w:w="123"/>
        <w:gridCol w:w="109"/>
        <w:gridCol w:w="109"/>
        <w:gridCol w:w="109"/>
        <w:gridCol w:w="211"/>
        <w:gridCol w:w="721"/>
        <w:gridCol w:w="109"/>
        <w:gridCol w:w="109"/>
        <w:gridCol w:w="109"/>
        <w:gridCol w:w="109"/>
        <w:gridCol w:w="289"/>
        <w:gridCol w:w="987"/>
        <w:gridCol w:w="150"/>
        <w:gridCol w:w="109"/>
        <w:gridCol w:w="109"/>
        <w:gridCol w:w="109"/>
        <w:gridCol w:w="237"/>
        <w:gridCol w:w="930"/>
        <w:gridCol w:w="124"/>
        <w:gridCol w:w="109"/>
        <w:gridCol w:w="109"/>
        <w:gridCol w:w="109"/>
        <w:gridCol w:w="325"/>
        <w:gridCol w:w="557"/>
        <w:gridCol w:w="16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Number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Common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Treasury</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Retained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Accumulated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Shareholders’</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controlling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0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40,351,680</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232,281 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31,469 </w:t>
            </w:r>
          </w:p>
        </w:tc>
        <w:tc>
          <w:tcPr>
            <w:tcW w:w="150"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365,092 </w:t>
            </w:r>
          </w:p>
        </w:tc>
        <w:tc>
          <w:tcPr>
            <w:tcW w:w="12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365,175 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adjustments in the reporting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40,351,680</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232,281 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63,322 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35,636 </w:t>
            </w:r>
          </w:p>
        </w:tc>
        <w:tc>
          <w:tcPr>
            <w:tcW w:w="150"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371,334 </w:t>
            </w:r>
          </w:p>
        </w:tc>
        <w:tc>
          <w:tcPr>
            <w:tcW w:w="12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371,404 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in the reporting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($0.24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(9,525)</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40,351,680</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232,281 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3"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51,487 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35,276 </w:t>
            </w:r>
          </w:p>
        </w:tc>
        <w:tc>
          <w:tcPr>
            <w:tcW w:w="15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359,139 </w:t>
            </w:r>
          </w:p>
        </w:tc>
        <w:tc>
          <w:tcPr>
            <w:tcW w:w="12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359,197 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(Reflects the retrospective application of the 1-for-7.5 forward stock split effective July 1, 2025, see Note 1 - Nature of Operations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w:t>
      </w:r>
    </w:p>
    <w:tbl>
      <w:tblPr>
        <w:tblW w:w="9278" w:type="dxa"/>
        <w:jc w:val="left"/>
        <w:tblInd w:w="0" w:type="dxa"/>
        <w:tblLayout w:type="fixed"/>
        <w:tblCellMar>
          <w:top w:w="28" w:type="dxa"/>
          <w:left w:w="28" w:type="dxa"/>
          <w:bottom w:w="28" w:type="dxa"/>
          <w:right w:w="28" w:type="dxa"/>
        </w:tblCellMar>
      </w:tblPr>
      <w:tblGrid>
        <w:gridCol w:w="2431"/>
        <w:gridCol w:w="2141"/>
        <w:gridCol w:w="2147"/>
        <w:gridCol w:w="211"/>
        <w:gridCol w:w="826"/>
        <w:gridCol w:w="109"/>
        <w:gridCol w:w="109"/>
        <w:gridCol w:w="109"/>
        <w:gridCol w:w="109"/>
        <w:gridCol w:w="211"/>
        <w:gridCol w:w="72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operating assets and liabilities: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(45,909)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(47,886)</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 and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taxes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(10,632)</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(21,216)</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 related to historical transactions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finance lease principal</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Exercising and vesting of stock incentive awards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25,385 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21,612 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109,734 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63,579 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67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pPr>
      <w:r>
        <w:rPr>
          <w:rFonts w:ascii="Times New Roman;serif" w:hAnsi="Times New Roman;serif"/>
          <w:b w:val="false"/>
          <w:color w:val="000000"/>
          <w:sz w:val="20"/>
          <w:shd w:fill="FFFFFF" w:val="clear"/>
        </w:rPr>
        <w:t>See accompanying Notes to Condensed Consolidated Financial Statements</w:t>
      </w:r>
      <w:r>
        <w:rPr>
          <w:rFonts w:ascii="Times New Roman;serif" w:hAnsi="Times New Roman;serif"/>
          <w:b/>
          <w:color w:val="000000"/>
          <w:sz w:val="20"/>
          <w:shd w:fill="FFFFFF" w:val="clear"/>
        </w:rPr>
        <w: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(Reflects the retrospective application of the 1-for-7.5 forward stock split effective July 1, 2025, see Note 1 - Nature of Operations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AEBI SCHMIDT HOLDING AG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 (Unaudited)</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(Dollar amounts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 NATURE OF OPERATIONS AND BASIS OF PRESENTATION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used herein, the term “the Company” or “Aebi Schmidt” refers to Aebi Schmidt Holding AG and its subsidiaries unless designated or identified otherwise.</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Nature of Operations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a provider of innovative technical products for cleaning and clearing traffic areas as well as mowing green spaces in particularly challenging terrain. The range of products comprises vehicles, attachable and demountable devices for individual vehicle equipment as well as related services. In addition, the Company manufactures and assembles specialty vehicles for commercial and recreational applications, including walk-in vans, truck bodies for last-mile delivery, vocation-specific upfit solutions, and luxury motorhome chassis. It also offers replacement parts, repair, maintenance, and refurbishment services for these vehicles. Aebi Schmidt Holding AG covers the European and North American markets with its own sales organizations, while clients outside of these markets are served either directly by the exporting subsidiary or indirectly by the worldwide dealer network.</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Shyft Transaction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16, 2024, the Company entered into an Agreement and Plan of Merger, dated as of December 16, 2024 (the “Merger Agreement”), by and among The Shyft Group, Inc., a Michigan corporation (“Shyft”), the Company, ASH US Group, LLC, a Delaware limited liability company and direct, wholly owned subsidiary of Aebi Schmidt (“Holdco”), and Badger Merger Sub, Inc., a Michigan corporation and direct, wholly owned subsidiary of Holdco (“Merger Sub”), pursuant to which, on the terms and subject to the conditions set forth in the Merger Agreement, Merger Sub merged with and into Shyft (the “Merger”, and the time at which the Merger is effective, the “Effective Time”), with Shyft surviving the Merger as a direct, wholly owned subsidiary of Holdco and as an indirect, wholly owned subsidiary of Aebi Schmidt (the transactions contemplated by the Merger Agreement, the “Transactions”).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Effective Time (July 1, 2025), each share of common stock, no par value, of Shyft (“Shyft Common Stock”) that was issued and outstanding as of immediately prior to the Effective Time (other than any shares of Shyft Common Stock that are held as of immediately prior to the Effective Time by Holdco, Aebi Schmidt, Merger Sub or any of their respective subsidiaries) automatically converted into the right to receive 1.040166432 (the “Exchange Ratio”) shares of fully paid and nonassessable shares of common stock, par value $1.00 per share, of Aebi Schmidt (“Aebi Schmidt Common Stock”), on the terms and subject to the conditions set forth in the Merger Agreement.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Immediately following the Effective Time, the holders of shares of Shyft Common Stock as of immediately prior to the Effective Time owned approximately 48% of the issued and outstanding shares of Aebi Schmidt Common Stock and the holders of shares of Aebi Schmidt Common Stock as of immediately prior to the Effective Time owned approximately 52% of the issued and outstanding shares of Aebi Schmidt Common Stock.</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is accounted for as a forward merger using the acquisition method of accounting, pursuant to Financial Accounting Standards Board (“FASB”) Accounting Standards Codification (“ASC”) Topic 805, Business Combinations (“ASC 805”), with Aebi Schmidt treated as the legal and accounting acquirer and Shyft treated as the legal and accounting acquiree. For further information regarding the Shyft Transaction please refer to Note 12 – Business Combination.</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Basis of Presentation and Consolidation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unaudited interim condensed consolidated financial statements include the accounts of Aebi Schmidt Holding AG and its subsidiaries and have been prepared in accordance with accounting principles generally accepted (“GAAP”) in the United States (“U.S.”) and with the instructions to Form 10-Q and Article 10 of Regulation S-X. Accordingly, certain information and disclosures required by GAAP for complete consolidated financial statements are not included herein. The results of operations for any interim period are not necessarily indicative of the results of operations for the full year. All inter-company transactions and balances have been eliminated. The accompanying unaudited interim condensed consolidated financial statements reflect all normal and recurring adjustments that are necessary for the fair statement of these interim financial statements. These interim financial statements should be read in conjunction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audited consolidated financial statements and footnotes for the year ended December 31, 2025 included in our Annual Report on Form 10-K for the year ended December 31, 2025 filed with the Securities and Exchange Commission (“SEC”) on March 19, 2026 (the “Form 10-K”).</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description of key accounting policies followed, refer to the footnotes to Aebi Schmidt Holding AG consolidated financial statements for the year ended December 31, 2025, included in our Form 10-K.</w:t>
      </w:r>
    </w:p>
    <w:p>
      <w:pPr>
        <w:pStyle w:val="TextBody"/>
        <w:bidi w:val="0"/>
        <w:spacing w:lineRule="auto" w:line="288" w:before="0" w:after="240"/>
        <w:jc w:val="both"/>
        <w:rPr/>
      </w:pPr>
      <w:r>
        <w:rPr>
          <w:rFonts w:ascii="Times New Roman;serif" w:hAnsi="Times New Roman;serif"/>
          <w:b w:val="false"/>
          <w:color w:val="000000"/>
          <w:sz w:val="20"/>
          <w:u w:val="single"/>
          <w:shd w:fill="FFFFFF" w:val="clear"/>
        </w:rPr>
        <w:t>Forward Stock Split.</w:t>
      </w:r>
      <w:r>
        <w:rPr>
          <w:color w:val="000000"/>
          <w:shd w:fill="FFFFFF" w:val="clear"/>
        </w:rPr>
        <w:t xml:space="preserve"> </w:t>
      </w:r>
      <w:r>
        <w:rPr>
          <w:rFonts w:ascii="Times New Roman;serif" w:hAnsi="Times New Roman;serif"/>
          <w:b w:val="false"/>
          <w:color w:val="000000"/>
          <w:sz w:val="20"/>
          <w:shd w:fill="FFFFFF" w:val="clear"/>
        </w:rPr>
        <w:t>On July 1, 2025, the Company effected a forward stock split of its issued and outstanding common stock, par value $1.00 per share, at a ratio of 1-for-7.5 (the “2025 Forward Stock Split”). Shares of common stock were proportionately increased.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of the Company’s historical share and per share information related to issued and outstanding common stock in these condensed consolidated financial statements have been adjusted, on a retroactive basis, to reflect the 2025 Forward Stock Split.</w:t>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Pronouncements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FASB issued Accounting Standards Update (“ASU”) 2025-05, Financial Instruments—Credit Losses (Topic 326): Measurements of Credit Losses for Accounts Receivable and Contract Assets (“ASU 2025-05”), which simplifies the estimation of credit losses on current accounts receivable and contract assets arising from transactions accounted for under ASC 606. The Company adopted ASU 2025-05 as of January 1, 2026 on a prospective basis. Adoption did not impact the Company's consolidated results of operations, financial position, or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shd w:fill="FFFFFF" w:val="clear"/>
        </w:rPr>
        <w:t>Recently Issued Accounting Pronouncements Not Yet Adopted.</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Disaggregation of Income Statement Expenses (Subtopic 220-40) (“ASU 2024-03”).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result in the required additional disclosures being included in the Consolidated Financial Statements, once adopted. The Company is currently evaluating the impact of the adoption of ASU 2024-03 on the Consolidated Financial Statements.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2025, the FASB issued ASU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the fiscal years beginning after December 15, 2026, and interim periods within fiscal years beginning after December 15, 2027, with early adoption permitted. The Company is currently evaluating the impact of these statements on the Consolidated Financial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ASU 2025-06, Intangibles - Goodwill and Other - Internal-Use Software (Subtopic 350-40), Targeted Improvements to the Accounting for Internal-Use Software (“ASU 2025-06”). ASU 2025-06 clarified and modernizes the accounting for costs related to internal-use software. The amendments in ASU 2025-06 remove all references to project stages throughout Subtopic 350-40 and clarify the threshold entities apply to begin capitalizing costs. Entities must evaluate whether there is “significant development uncertainty,” such as unresolved novel functionality or substantially revised performance requirements, before meeting this capitalization threshold. ASU 2025-06 is effective for the Company for fiscal years beginning after December 15, 2027 and interim periods within those fiscal years. The Company is currently evaluating the impact of adoption of ASU 2025-06 on the Consolidated Financial Statements.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2025-10, Government Grants - Accounting for Government Grants Received by Business Entities (Topic 832) </w:t>
      </w:r>
      <w:r>
        <w:rPr>
          <w:rFonts w:ascii="Times New Roman;serif" w:hAnsi="Times New Roman;serif"/>
          <w:b w:val="false"/>
          <w:color w:val="000000"/>
          <w:sz w:val="20"/>
          <w:shd w:fill="FFFFFF" w:val="clear"/>
        </w:rPr>
        <w:t>(“ASU 2025-10”). ASU 2025-10 provides the guidance on the recognition, measurement, and presentation of government grants related to an asset or to income. ASU 2025-10 is effective for the Company for fiscal years beginning after December 15, 2028, including interim periods within those fiscal years. The Company is currently evaluating the impact of adoption of ASU 2025-10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does not believe other recently issued but not yet effective accounting standards, if currently adopted, would have a material effect on the Company’s consolidated balance sheets, statements of operations and comprehensive income (loss) and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REVENUE</w:t>
      </w:r>
    </w:p>
    <w:p>
      <w:pPr>
        <w:pStyle w:val="TextBody"/>
        <w:bidi w:val="0"/>
        <w:spacing w:lineRule="auto" w:line="288"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Contract Assets and Liabilities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disclose changes in contract assets and liabilities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876"/>
        <w:gridCol w:w="2430"/>
        <w:gridCol w:w="2443"/>
        <w:gridCol w:w="211"/>
        <w:gridCol w:w="721"/>
        <w:gridCol w:w="109"/>
        <w:gridCol w:w="109"/>
        <w:gridCol w:w="109"/>
        <w:gridCol w:w="109"/>
        <w:gridCol w:w="211"/>
        <w:gridCol w:w="721"/>
        <w:gridCol w:w="156"/>
      </w:tblGrid>
      <w:tr>
        <w:trPr/>
        <w:tc>
          <w:tcPr>
            <w:tcW w:w="287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77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beginning of period</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82,342 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24,145 </w:t>
            </w:r>
          </w:p>
        </w:tc>
        <w:tc>
          <w:tcPr>
            <w:tcW w:w="15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324"/>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contract assets to receivables, as the result of rights to consideration becoming unconditional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recognized, net of reclassification to receivables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19,346 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end of period</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92,868 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30,502 </w:t>
            </w:r>
          </w:p>
        </w:tc>
        <w:tc>
          <w:tcPr>
            <w:tcW w:w="15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contract liabilities to revenue, as the result of performance obligations satisfied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in advance and not recognized in revenue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period</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26,791 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5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amount of the transaction price allocated to remaining performance obligations in existing contracts that are yet to be completed in the North America and Europe and Rest of the World (“ROW”) segments are $1,059,016 and $219,933 respectively, with substantially all revenue expected to be recognized within one year as of June 30, 2026.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performance obligations that are satisfied over time, revenue is expected to be recognized over the period to complete the contract. For performance obligations that are satisfied at a point in time, revenue is expected to be recognized when the customer obtains control of the product, which is generally upon shipment from our facility. No amounts have been excluded from the transaction prices above related to the guidance on constraining estimates of variable consideration.</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following tables, revenue is disaggregated by primary geographical market and timing of revenue recognition. The tables also include a reconciliation of the disaggregated revenue with the reportable segments.</w:t>
      </w:r>
    </w:p>
    <w:tbl>
      <w:tblPr>
        <w:tblW w:w="7842" w:type="dxa"/>
        <w:jc w:val="left"/>
        <w:tblInd w:w="0" w:type="dxa"/>
        <w:tblLayout w:type="fixed"/>
        <w:tblCellMar>
          <w:top w:w="28" w:type="dxa"/>
          <w:left w:w="28" w:type="dxa"/>
          <w:bottom w:w="28" w:type="dxa"/>
          <w:right w:w="28" w:type="dxa"/>
        </w:tblCellMar>
      </w:tblPr>
      <w:tblGrid>
        <w:gridCol w:w="1294"/>
        <w:gridCol w:w="1135"/>
        <w:gridCol w:w="1140"/>
        <w:gridCol w:w="226"/>
        <w:gridCol w:w="887"/>
        <w:gridCol w:w="117"/>
        <w:gridCol w:w="109"/>
        <w:gridCol w:w="109"/>
        <w:gridCol w:w="109"/>
        <w:gridCol w:w="211"/>
        <w:gridCol w:w="721"/>
        <w:gridCol w:w="109"/>
        <w:gridCol w:w="109"/>
        <w:gridCol w:w="109"/>
        <w:gridCol w:w="109"/>
        <w:gridCol w:w="211"/>
        <w:gridCol w:w="826"/>
        <w:gridCol w:w="311"/>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Business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Primary geographical markets</w:t>
            </w:r>
          </w:p>
        </w:tc>
        <w:tc>
          <w:tcPr>
            <w:tcW w:w="12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323,151 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356,263 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ROW</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433,499 </w:t>
            </w:r>
          </w:p>
        </w:tc>
        <w:tc>
          <w:tcPr>
            <w:tcW w:w="11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62,909 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31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Timing of revenue recognition</w:t>
            </w:r>
          </w:p>
        </w:tc>
        <w:tc>
          <w:tcPr>
            <w:tcW w:w="12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256,883 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233,045 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239,525 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433,499 </w:t>
            </w:r>
          </w:p>
        </w:tc>
        <w:tc>
          <w:tcPr>
            <w:tcW w:w="11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62,909 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3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tbl>
      <w:tblPr>
        <w:tblW w:w="7842" w:type="dxa"/>
        <w:jc w:val="left"/>
        <w:tblInd w:w="0" w:type="dxa"/>
        <w:tblLayout w:type="fixed"/>
        <w:tblCellMar>
          <w:top w:w="28" w:type="dxa"/>
          <w:left w:w="28" w:type="dxa"/>
          <w:bottom w:w="28" w:type="dxa"/>
          <w:right w:w="28" w:type="dxa"/>
        </w:tblCellMar>
      </w:tblPr>
      <w:tblGrid>
        <w:gridCol w:w="1294"/>
        <w:gridCol w:w="1135"/>
        <w:gridCol w:w="1140"/>
        <w:gridCol w:w="226"/>
        <w:gridCol w:w="887"/>
        <w:gridCol w:w="117"/>
        <w:gridCol w:w="109"/>
        <w:gridCol w:w="109"/>
        <w:gridCol w:w="109"/>
        <w:gridCol w:w="211"/>
        <w:gridCol w:w="721"/>
        <w:gridCol w:w="109"/>
        <w:gridCol w:w="109"/>
        <w:gridCol w:w="109"/>
        <w:gridCol w:w="109"/>
        <w:gridCol w:w="211"/>
        <w:gridCol w:w="826"/>
        <w:gridCol w:w="311"/>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Business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Primary geographical markets</w:t>
            </w:r>
          </w:p>
        </w:tc>
        <w:tc>
          <w:tcPr>
            <w:tcW w:w="12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134,876 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146,244 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ROW</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131,499 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238,130 </w:t>
            </w:r>
          </w:p>
        </w:tc>
        <w:tc>
          <w:tcPr>
            <w:tcW w:w="11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31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Timing of revenue recognition</w:t>
            </w:r>
          </w:p>
        </w:tc>
        <w:tc>
          <w:tcPr>
            <w:tcW w:w="12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207,193 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70,550 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238,130 </w:t>
            </w:r>
          </w:p>
        </w:tc>
        <w:tc>
          <w:tcPr>
            <w:tcW w:w="11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3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47" w:type="dxa"/>
        <w:jc w:val="left"/>
        <w:tblInd w:w="0" w:type="dxa"/>
        <w:tblLayout w:type="fixed"/>
        <w:tblCellMar>
          <w:top w:w="28" w:type="dxa"/>
          <w:left w:w="28" w:type="dxa"/>
          <w:bottom w:w="28" w:type="dxa"/>
          <w:right w:w="28" w:type="dxa"/>
        </w:tblCellMar>
      </w:tblPr>
      <w:tblGrid>
        <w:gridCol w:w="1294"/>
        <w:gridCol w:w="1135"/>
        <w:gridCol w:w="1140"/>
        <w:gridCol w:w="226"/>
        <w:gridCol w:w="887"/>
        <w:gridCol w:w="117"/>
        <w:gridCol w:w="109"/>
        <w:gridCol w:w="109"/>
        <w:gridCol w:w="109"/>
        <w:gridCol w:w="211"/>
        <w:gridCol w:w="826"/>
        <w:gridCol w:w="109"/>
        <w:gridCol w:w="109"/>
        <w:gridCol w:w="109"/>
        <w:gridCol w:w="109"/>
        <w:gridCol w:w="211"/>
        <w:gridCol w:w="826"/>
        <w:gridCol w:w="311"/>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Business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Primary geographical markets</w:t>
            </w:r>
          </w:p>
        </w:tc>
        <w:tc>
          <w:tcPr>
            <w:tcW w:w="12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623,827 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693,585 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ROW</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815,169 </w:t>
            </w:r>
          </w:p>
        </w:tc>
        <w:tc>
          <w:tcPr>
            <w:tcW w:w="11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136,784 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31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Timing of revenue recognition</w:t>
            </w:r>
          </w:p>
        </w:tc>
        <w:tc>
          <w:tcPr>
            <w:tcW w:w="12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492,828 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447,490 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459,125 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815,169 </w:t>
            </w:r>
          </w:p>
        </w:tc>
        <w:tc>
          <w:tcPr>
            <w:tcW w:w="11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136,784 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3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2" w:type="dxa"/>
        <w:jc w:val="left"/>
        <w:tblInd w:w="0" w:type="dxa"/>
        <w:tblLayout w:type="fixed"/>
        <w:tblCellMar>
          <w:top w:w="28" w:type="dxa"/>
          <w:left w:w="28" w:type="dxa"/>
          <w:bottom w:w="28" w:type="dxa"/>
          <w:right w:w="28" w:type="dxa"/>
        </w:tblCellMar>
      </w:tblPr>
      <w:tblGrid>
        <w:gridCol w:w="1294"/>
        <w:gridCol w:w="1135"/>
        <w:gridCol w:w="1140"/>
        <w:gridCol w:w="226"/>
        <w:gridCol w:w="887"/>
        <w:gridCol w:w="117"/>
        <w:gridCol w:w="109"/>
        <w:gridCol w:w="109"/>
        <w:gridCol w:w="109"/>
        <w:gridCol w:w="211"/>
        <w:gridCol w:w="721"/>
        <w:gridCol w:w="109"/>
        <w:gridCol w:w="109"/>
        <w:gridCol w:w="109"/>
        <w:gridCol w:w="109"/>
        <w:gridCol w:w="211"/>
        <w:gridCol w:w="826"/>
        <w:gridCol w:w="311"/>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Business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Primary geographical markets</w:t>
            </w:r>
          </w:p>
        </w:tc>
        <w:tc>
          <w:tcPr>
            <w:tcW w:w="123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265,132 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293,535 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ROW</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441,038 </w:t>
            </w:r>
          </w:p>
        </w:tc>
        <w:tc>
          <w:tcPr>
            <w:tcW w:w="11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85,891 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31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Timing of revenue recognition</w:t>
            </w:r>
          </w:p>
        </w:tc>
        <w:tc>
          <w:tcPr>
            <w:tcW w:w="12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316,041 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389,285 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137,644 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441,038 </w:t>
            </w:r>
          </w:p>
        </w:tc>
        <w:tc>
          <w:tcPr>
            <w:tcW w:w="11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85,891 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3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INVENTORIES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are summarized as follows:</w:t>
      </w:r>
    </w:p>
    <w:tbl>
      <w:tblPr>
        <w:tblW w:w="6286" w:type="dxa"/>
        <w:jc w:val="left"/>
        <w:tblInd w:w="0" w:type="dxa"/>
        <w:tblLayout w:type="fixed"/>
        <w:tblCellMar>
          <w:top w:w="28" w:type="dxa"/>
          <w:left w:w="28" w:type="dxa"/>
          <w:bottom w:w="28" w:type="dxa"/>
          <w:right w:w="28" w:type="dxa"/>
        </w:tblCellMar>
      </w:tblPr>
      <w:tblGrid>
        <w:gridCol w:w="1272"/>
        <w:gridCol w:w="1116"/>
        <w:gridCol w:w="1121"/>
        <w:gridCol w:w="211"/>
        <w:gridCol w:w="826"/>
        <w:gridCol w:w="109"/>
        <w:gridCol w:w="109"/>
        <w:gridCol w:w="109"/>
        <w:gridCol w:w="109"/>
        <w:gridCol w:w="231"/>
        <w:gridCol w:w="905"/>
        <w:gridCol w:w="168"/>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121,258 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113,716 </w:t>
            </w:r>
          </w:p>
        </w:tc>
        <w:tc>
          <w:tcPr>
            <w:tcW w:w="16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purchased components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182,994 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380,154 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346,423 </w:t>
            </w:r>
          </w:p>
        </w:tc>
        <w:tc>
          <w:tcPr>
            <w:tcW w:w="16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PROPERTY, PLANT AND EQUIPMENT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plant and equipment are summarized by major classifications as follows:</w:t>
      </w:r>
    </w:p>
    <w:tbl>
      <w:tblPr>
        <w:tblW w:w="6181" w:type="dxa"/>
        <w:jc w:val="left"/>
        <w:tblInd w:w="0" w:type="dxa"/>
        <w:tblLayout w:type="fixed"/>
        <w:tblCellMar>
          <w:top w:w="28" w:type="dxa"/>
          <w:left w:w="28" w:type="dxa"/>
          <w:bottom w:w="28" w:type="dxa"/>
          <w:right w:w="28" w:type="dxa"/>
        </w:tblCellMar>
      </w:tblPr>
      <w:tblGrid>
        <w:gridCol w:w="1233"/>
        <w:gridCol w:w="1082"/>
        <w:gridCol w:w="1089"/>
        <w:gridCol w:w="211"/>
        <w:gridCol w:w="826"/>
        <w:gridCol w:w="109"/>
        <w:gridCol w:w="109"/>
        <w:gridCol w:w="109"/>
        <w:gridCol w:w="109"/>
        <w:gridCol w:w="231"/>
        <w:gridCol w:w="905"/>
        <w:gridCol w:w="168"/>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136,633 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135,760 </w:t>
            </w:r>
          </w:p>
        </w:tc>
        <w:tc>
          <w:tcPr>
            <w:tcW w:w="16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installation and machinery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office equipment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55,871 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292,434 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291,948 </w:t>
            </w:r>
          </w:p>
        </w:tc>
        <w:tc>
          <w:tcPr>
            <w:tcW w:w="16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09"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167,899 </w:t>
            </w:r>
          </w:p>
        </w:tc>
        <w:tc>
          <w:tcPr>
            <w:tcW w:w="168"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recorded depreciation expense of $5,535 and $2,589 during the three months ended June 30, 2026 and 2025, respectively, and $11,048 and $5,434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LEASES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both operating and finance leases for land, buildings, machinery, vehicles and certain equipment. Our leases have remaining lease terms of 1 to 25 years, some of which include options to extend the lease agreements for up to 12 years. Our leases do not contain residual value guarantees. As of June 30, 2026 and December 31, 2025, assets recorded under finance leases were immaterial.</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expenses are classified as cost of products sold and selling, general and administrative on the Condensed Consolidated Statements of Operations. The components of lease expense were as follows:</w:t>
      </w:r>
    </w:p>
    <w:tbl>
      <w:tblPr>
        <w:tblW w:w="7754" w:type="dxa"/>
        <w:jc w:val="left"/>
        <w:tblInd w:w="0" w:type="dxa"/>
        <w:tblLayout w:type="fixed"/>
        <w:tblCellMar>
          <w:top w:w="28" w:type="dxa"/>
          <w:left w:w="28" w:type="dxa"/>
          <w:bottom w:w="28" w:type="dxa"/>
          <w:right w:w="28" w:type="dxa"/>
        </w:tblCellMar>
      </w:tblPr>
      <w:tblGrid>
        <w:gridCol w:w="1043"/>
        <w:gridCol w:w="914"/>
        <w:gridCol w:w="92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weighted average remaining lease term and weighted average discount rate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tbl>
      <w:tblPr>
        <w:tblW w:w="5998" w:type="dxa"/>
        <w:jc w:val="left"/>
        <w:tblInd w:w="0" w:type="dxa"/>
        <w:tblLayout w:type="fixed"/>
        <w:tblCellMar>
          <w:top w:w="28" w:type="dxa"/>
          <w:left w:w="28" w:type="dxa"/>
          <w:bottom w:w="28" w:type="dxa"/>
          <w:right w:w="28" w:type="dxa"/>
        </w:tblCellMar>
      </w:tblPr>
      <w:tblGrid>
        <w:gridCol w:w="1486"/>
        <w:gridCol w:w="1308"/>
        <w:gridCol w:w="1316"/>
        <w:gridCol w:w="233"/>
        <w:gridCol w:w="233"/>
        <w:gridCol w:w="292"/>
        <w:gridCol w:w="109"/>
        <w:gridCol w:w="109"/>
        <w:gridCol w:w="109"/>
        <w:gridCol w:w="233"/>
        <w:gridCol w:w="233"/>
        <w:gridCol w:w="337"/>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75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2"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29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37" w:type="dxa"/>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46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9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37"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Supplemental cash flow information related to leases was as follows:</w:t>
      </w:r>
    </w:p>
    <w:tbl>
      <w:tblPr>
        <w:tblW w:w="8318"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 Financing cash flows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 Operating cash flows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 Operating cash flows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lease obligations: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31,344 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Maturities of lease liabilities as of June 30, 2026, are as follows:</w:t>
      </w:r>
    </w:p>
    <w:tbl>
      <w:tblPr>
        <w:tblW w:w="4809" w:type="dxa"/>
        <w:jc w:val="left"/>
        <w:tblInd w:w="0" w:type="dxa"/>
        <w:tblLayout w:type="fixed"/>
        <w:tblCellMar>
          <w:top w:w="28" w:type="dxa"/>
          <w:left w:w="28" w:type="dxa"/>
          <w:bottom w:w="28" w:type="dxa"/>
          <w:right w:w="28" w:type="dxa"/>
        </w:tblCellMar>
      </w:tblPr>
      <w:tblGrid>
        <w:gridCol w:w="852"/>
        <w:gridCol w:w="749"/>
        <w:gridCol w:w="754"/>
        <w:gridCol w:w="211"/>
        <w:gridCol w:w="616"/>
        <w:gridCol w:w="109"/>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245,510 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(76,616)</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168,894 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INCOME TAXES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end of each interim period, the Company makes its best estimate of the annual expected effective income tax rate and applies that rate to its ordinary year-to-date earnings or loss. The income tax provision or benefit related to unusual or infrequent items, if applicable, that will be separately reported or reported net of their related tax effects are individually computed and recognized in the interim period in which those items occur. In addition, the effect of changes in enacted tax laws or rates, tax status, judgment on the realizability of a beginning-of-the-year deferred tax asset in future years or income tax contingencies is recognized in the interim period in which the change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Our income tax (expense) benefit was $(4,848) and $890 for the three months ended June 30, 2026, and 2025</w:t>
      </w:r>
      <w:r>
        <w:rPr>
          <w:rFonts w:ascii="Times New Roman;serif" w:hAnsi="Times New Roman;serif"/>
          <w:b w:val="false"/>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respectively. The tax (expense) benefit represented a 31.6% and 27.7% effective tax rate for the three months ended June 30, 2026, and 2025, respectively. Income tax (expense) benefit was $(5,336) and $103 for six months ended June 30, 2026 and 2025, respectively. The tax (expense) benefit represented a 32.4% effective tax rate and 28.4% effective tax rate for the six months ended June 30, 2026 and 2025, respectively.</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Organization for Economic Cooperation and Development’s (“OECD”) Pillar Two global corporate minimum tax rate of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 xml:space="preserve">has been in effect since 2024 and applies for companies with revenues of at least </w:t>
      </w:r>
      <w:r>
        <w:rPr>
          <w:color w:val="000000"/>
        </w:rPr>
        <w:t>€</w:t>
      </w:r>
      <w:r>
        <w:rPr>
          <w:rFonts w:ascii="Times New Roman;serif" w:hAnsi="Times New Roman;serif"/>
          <w:b w:val="false"/>
          <w:color w:val="000000"/>
          <w:sz w:val="20"/>
        </w:rPr>
        <w:t>750 million</w:t>
      </w:r>
      <w:r>
        <w:rPr>
          <w:rFonts w:ascii="Times New Roman;serif" w:hAnsi="Times New Roman;serif"/>
          <w:b w:val="false"/>
          <w:color w:val="000000"/>
          <w:sz w:val="20"/>
          <w:shd w:fill="FFFFFF" w:val="clear"/>
        </w:rPr>
        <w:t>. The Company is subject to the Pillar Two regulations. The Company has continued to evaluate the effect of this through the second quarter of 2026 and determined that it did not have any material impacts for the current year. The Company will continue to assess the impact of the Pillar Two minimum tax regulations, including the impact from additional clarifications that are published by OECD and local tax authorities.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the United States enacted the One Big Beautiful Bill Act of 2025 (“OBBBA”) into law. The OBBBA includes provisions allowing accelerated tax deductions for qualified property and research expenditures and limitations on business interest deductions. The OBBBA has multiple effective dates, with certain provisions effective in 2025 and others being implemented through 2027. The enactment of the OBBBA did not have a material impact on the Company’s effective tax rate for the three and six months ended June 30, 2026. Administrative guidance interpreting the OBBBA will be released over coming quarters which the Company will continue to monitor.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COMMITMENTS AND CONTINGENT LIABILITIES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Warranty Related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provide limited warranties against assembly or 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warranty liability are summarized below:</w:t>
      </w:r>
    </w:p>
    <w:tbl>
      <w:tblPr>
        <w:tblW w:w="6609" w:type="dxa"/>
        <w:jc w:val="left"/>
        <w:tblInd w:w="0" w:type="dxa"/>
        <w:tblLayout w:type="fixed"/>
        <w:tblCellMar>
          <w:top w:w="28" w:type="dxa"/>
          <w:left w:w="28" w:type="dxa"/>
          <w:bottom w:w="28" w:type="dxa"/>
          <w:right w:w="28" w:type="dxa"/>
        </w:tblCellMar>
      </w:tblPr>
      <w:tblGrid>
        <w:gridCol w:w="1504"/>
        <w:gridCol w:w="1323"/>
        <w:gridCol w:w="1328"/>
        <w:gridCol w:w="211"/>
        <w:gridCol w:w="721"/>
        <w:gridCol w:w="109"/>
        <w:gridCol w:w="109"/>
        <w:gridCol w:w="109"/>
        <w:gridCol w:w="109"/>
        <w:gridCol w:w="211"/>
        <w:gridCol w:w="72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warranty liability, beginning of period</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10,206 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current period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liability for pre-existing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warranty liability,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Long-term warranty provision amounting to $2,614 and $2,040 as of June 30, 2026 and 2025, respectively is included within the Other non-current liabilities in the Condensed Consolidated Balance Sheets.</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Chassis Pool Agreements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June 30, 2026 and December 31, 2025, chassis consigned inventory was approximately $39,646 and $119,091 respectively. The Company incurred $785 and $155 of interest expense related to the chassis on hand during the three months ended June 30, 2026 and 2025, respectively, and $2,136 and $464 during the six months ended June 30, 2026 and 2025, respectively. </w:t>
      </w:r>
      <w:r>
        <w:rPr>
          <w:rFonts w:ascii="Times New Roman;serif" w:hAnsi="Times New Roman;serif"/>
          <w:b w:val="false"/>
          <w:color w:val="000000"/>
          <w:sz w:val="20"/>
        </w:rPr>
        <w:t>For further information regarding our chassis pool agreements, please refer to “</w:t>
      </w:r>
      <w:r>
        <w:rPr>
          <w:rFonts w:ascii="Times New Roman;serif" w:hAnsi="Times New Roman;serif"/>
          <w:b w:val="false"/>
          <w:i/>
          <w:color w:val="000000"/>
          <w:sz w:val="20"/>
        </w:rPr>
        <w:t>Note 8 - Commitments and Contingent Liabilities</w:t>
      </w:r>
      <w:r>
        <w:rPr>
          <w:color w:val="000000"/>
        </w:rPr>
        <w:t xml:space="preserve">” </w:t>
      </w:r>
      <w:r>
        <w:rPr>
          <w:rFonts w:ascii="Times New Roman;serif" w:hAnsi="Times New Roman;serif"/>
          <w:b w:val="false"/>
          <w:color w:val="000000"/>
          <w:sz w:val="20"/>
        </w:rPr>
        <w:t>in the Company</w:t>
      </w:r>
      <w:r>
        <w:rPr>
          <w:color w:val="000000"/>
          <w:shd w:fill="FFFFFF" w:val="clear"/>
        </w:rPr>
        <w:t>’</w:t>
      </w:r>
      <w:r>
        <w:rPr>
          <w:rFonts w:ascii="Times New Roman;serif" w:hAnsi="Times New Roman;serif"/>
          <w:b w:val="false"/>
          <w:color w:val="000000"/>
          <w:sz w:val="20"/>
          <w:shd w:fill="FFFFFF" w:val="clear"/>
        </w:rPr>
        <w:t>s</w:t>
      </w:r>
      <w:r>
        <w:rPr>
          <w:color w:val="000000"/>
        </w:rPr>
        <w:t xml:space="preserve"> </w:t>
      </w:r>
      <w:r>
        <w:rPr>
          <w:rFonts w:ascii="Times New Roman;serif" w:hAnsi="Times New Roman;serif"/>
          <w:b w:val="false"/>
          <w:color w:val="000000"/>
          <w:sz w:val="20"/>
        </w:rPr>
        <w:t xml:space="preserve">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DEFINED BENEFIT PENSION PLANS</w:t>
      </w:r>
    </w:p>
    <w:tbl>
      <w:tblPr>
        <w:tblW w:w="7490" w:type="dxa"/>
        <w:jc w:val="left"/>
        <w:tblInd w:w="0" w:type="dxa"/>
        <w:tblLayout w:type="fixed"/>
        <w:tblCellMar>
          <w:top w:w="28" w:type="dxa"/>
          <w:left w:w="28" w:type="dxa"/>
          <w:bottom w:w="28" w:type="dxa"/>
          <w:right w:w="28" w:type="dxa"/>
        </w:tblCellMar>
      </w:tblPr>
      <w:tblGrid>
        <w:gridCol w:w="765"/>
        <w:gridCol w:w="672"/>
        <w:gridCol w:w="677"/>
        <w:gridCol w:w="270"/>
        <w:gridCol w:w="693"/>
        <w:gridCol w:w="139"/>
        <w:gridCol w:w="139"/>
        <w:gridCol w:w="139"/>
        <w:gridCol w:w="139"/>
        <w:gridCol w:w="270"/>
        <w:gridCol w:w="693"/>
        <w:gridCol w:w="139"/>
        <w:gridCol w:w="109"/>
        <w:gridCol w:w="109"/>
        <w:gridCol w:w="109"/>
        <w:gridCol w:w="228"/>
        <w:gridCol w:w="667"/>
        <w:gridCol w:w="118"/>
        <w:gridCol w:w="118"/>
        <w:gridCol w:w="118"/>
        <w:gridCol w:w="118"/>
        <w:gridCol w:w="228"/>
        <w:gridCol w:w="667"/>
        <w:gridCol w:w="166"/>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7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3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3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6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(2,419)</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gain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Benefit cost</w:t>
            </w:r>
          </w:p>
        </w:tc>
        <w:tc>
          <w:tcPr>
            <w:tcW w:w="270"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3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1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6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net periodic pension and other postretirement cost, other than service cost, are included in Other income (expense) in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DEBT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Debt consists of the following:</w:t>
      </w:r>
    </w:p>
    <w:tbl>
      <w:tblPr>
        <w:tblW w:w="5972" w:type="dxa"/>
        <w:jc w:val="left"/>
        <w:tblInd w:w="0" w:type="dxa"/>
        <w:tblLayout w:type="fixed"/>
        <w:tblCellMar>
          <w:top w:w="28" w:type="dxa"/>
          <w:left w:w="28" w:type="dxa"/>
          <w:bottom w:w="28" w:type="dxa"/>
          <w:right w:w="28" w:type="dxa"/>
        </w:tblCellMar>
      </w:tblPr>
      <w:tblGrid>
        <w:gridCol w:w="1157"/>
        <w:gridCol w:w="1016"/>
        <w:gridCol w:w="1022"/>
        <w:gridCol w:w="211"/>
        <w:gridCol w:w="826"/>
        <w:gridCol w:w="109"/>
        <w:gridCol w:w="109"/>
        <w:gridCol w:w="109"/>
        <w:gridCol w:w="109"/>
        <w:gridCol w:w="231"/>
        <w:gridCol w:w="905"/>
        <w:gridCol w:w="168"/>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2030</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200,154 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191,819 </w:t>
            </w:r>
          </w:p>
        </w:tc>
        <w:tc>
          <w:tcPr>
            <w:tcW w:w="16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 A, due 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loan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59,101 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617,679 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594,958 </w:t>
            </w:r>
          </w:p>
        </w:tc>
        <w:tc>
          <w:tcPr>
            <w:tcW w:w="16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551,343 </w:t>
            </w:r>
          </w:p>
        </w:tc>
        <w:tc>
          <w:tcPr>
            <w:tcW w:w="109"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548,050 </w:t>
            </w:r>
          </w:p>
        </w:tc>
        <w:tc>
          <w:tcPr>
            <w:tcW w:w="168"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Term loan, Facility A, due 2030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Facility A is a multicurrency senior secured amortizing term loan facility with a total commitment amount of $350,000. The interest rate is variable defined based on the applicable reference rate (SOFR, SARON, EURIBOR), plus a margin. The margin increases with the Company’s leverage ratio. The average interest rate for the three months ended June 30, 2026 was 5.987%</w:t>
      </w:r>
      <w:r>
        <w:rPr>
          <w:rFonts w:ascii="Arial;sans-serif" w:hAnsi="Arial;sans-serif"/>
          <w:b w:val="false"/>
          <w:color w:val="000000"/>
          <w:sz w:val="24"/>
        </w:rPr>
        <w:t xml:space="preserve">. </w:t>
      </w:r>
      <w:r>
        <w:rPr>
          <w:rFonts w:ascii="Times New Roman;serif" w:hAnsi="Times New Roman;serif"/>
          <w:b w:val="false"/>
          <w:color w:val="000000"/>
          <w:sz w:val="20"/>
        </w:rPr>
        <w:t>As of June 30, 2026, debt issuance costs of $4,266 are deferred and amortized based on the effective interest method.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is subject to certain customary covenants that prohibit the Company from incurring additional indebtedness, limit certain acquisitions, investments, advances or loans and restrict substantial asset sales (all subject to certain exceptions and baskets). In addition, the credit facilities agreement governing Facility A (the </w:t>
      </w:r>
      <w:r>
        <w:rPr>
          <w:color w:val="000000"/>
          <w:shd w:fill="FFFFFF" w:val="clear"/>
        </w:rPr>
        <w:t>“</w:t>
      </w:r>
      <w:r>
        <w:rPr>
          <w:rFonts w:ascii="Times New Roman;serif" w:hAnsi="Times New Roman;serif"/>
          <w:b w:val="false"/>
          <w:color w:val="000000"/>
          <w:sz w:val="20"/>
        </w:rPr>
        <w:t>New Credit Facilities Agreement</w:t>
      </w:r>
      <w:r>
        <w:rPr>
          <w:color w:val="000000"/>
          <w:shd w:fill="FFFFFF" w:val="clear"/>
        </w:rPr>
        <w:t>”</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also requires the Company to maintain certain financial ratios. For the current reporting period, the Company was required to maintain a leverage ratio that did not exceed 3.75x. The Company was in compliance with all covenants as of June 30, 2026 and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Revolving credit facility, due 2030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New Credit Facilities Agreement also provides for a multicurrency senior secured revolving loan facility (the </w:t>
      </w:r>
      <w:r>
        <w:rPr>
          <w:color w:val="000000"/>
          <w:shd w:fill="FFFFFF" w:val="clear"/>
        </w:rPr>
        <w:t>“</w:t>
      </w:r>
      <w:r>
        <w:rPr>
          <w:rFonts w:ascii="Times New Roman;serif" w:hAnsi="Times New Roman;serif"/>
          <w:b w:val="false"/>
          <w:color w:val="000000"/>
          <w:sz w:val="20"/>
          <w:shd w:fill="FFFFFF" w:val="clear"/>
        </w:rPr>
        <w:t xml:space="preserve">Revolving Facility”) </w:t>
      </w:r>
      <w:r>
        <w:rPr>
          <w:rFonts w:ascii="Times New Roman;serif" w:hAnsi="Times New Roman;serif"/>
          <w:b w:val="false"/>
          <w:color w:val="000000"/>
          <w:sz w:val="20"/>
        </w:rPr>
        <w:t>with a total commitment amount of up to $250,000. The interest rate is variable and based on the applicable reference rate (SOFR, SARON, EURIBOR), plus a margin. The margin increases with the Company’s leverage ratio. The average interest rate for the three months ended June 30, 2026 was 5.829%.</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debt issuance costs of $3,047 are deferred and amortized based on a straight-line basis over the term of the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certain customary covenants that prohibit the Company from incurring additional indebtedness, limit certain acquisitions, investments, advances or loans and restrict substantial asset sales (all subject to certain exceptions and baskets). In addition, the New Credit Facilities Agreement also requires the Company to maintain certain financial ratios. For the current reporting period, the Company was required to maintain a leverage ratio that did not exceed 3.75x. The Company was in compliance with all covenants as of June 30, 2026 and December 31, 2025.</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Shareholder loans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were subordinated shareholder loans totaling </w:t>
      </w:r>
      <w:r>
        <w:rPr>
          <w:rFonts w:ascii="Times New Roman;serif" w:hAnsi="Times New Roman;serif"/>
          <w:b w:val="false"/>
          <w:color w:val="000000"/>
          <w:sz w:val="20"/>
        </w:rPr>
        <w:t>CHF13,563</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$16,754,</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$17,110)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EUR15,000</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$17,091</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$17,626)</w:t>
      </w:r>
      <w:r>
        <w:rPr>
          <w:color w:val="000000"/>
          <w:shd w:fill="FFFFFF" w:val="clear"/>
        </w:rPr>
        <w:t xml:space="preserve"> </w:t>
      </w:r>
      <w:r>
        <w:rPr>
          <w:rFonts w:ascii="Times New Roman;serif" w:hAnsi="Times New Roman;serif"/>
          <w:b w:val="false"/>
          <w:color w:val="000000"/>
          <w:sz w:val="20"/>
          <w:shd w:fill="FFFFFF" w:val="clear"/>
        </w:rPr>
        <w:t xml:space="preserve">from PCS Holding AG, as well as </w:t>
      </w:r>
      <w:r>
        <w:rPr>
          <w:rFonts w:ascii="Times New Roman;serif" w:hAnsi="Times New Roman;serif"/>
          <w:b w:val="false"/>
          <w:color w:val="000000"/>
          <w:sz w:val="20"/>
        </w:rPr>
        <w:t>CHF10,000</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$12,353,</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$12,615)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EUR10,000</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$11,394,</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$11,750)</w:t>
      </w:r>
      <w:r>
        <w:rPr>
          <w:color w:val="000000"/>
          <w:shd w:fill="FFFFFF" w:val="clear"/>
        </w:rPr>
        <w:t xml:space="preserve"> </w:t>
      </w:r>
      <w:r>
        <w:rPr>
          <w:rFonts w:ascii="Times New Roman;serif" w:hAnsi="Times New Roman;serif"/>
          <w:b w:val="false"/>
          <w:color w:val="000000"/>
          <w:sz w:val="20"/>
          <w:shd w:fill="FFFFFF" w:val="clear"/>
        </w:rPr>
        <w:t xml:space="preserve">from Gebuka AG. The loans are originally granted for a fixed term, but the term will be extended if the loan agreement is not terminated </w:t>
      </w:r>
      <w:r>
        <w:rPr>
          <w:rFonts w:ascii="Times New Roman;serif" w:hAnsi="Times New Roman;serif"/>
          <w:b w:val="false"/>
          <w:color w:val="000000"/>
          <w:sz w:val="20"/>
        </w:rPr>
        <w:t>90 days</w:t>
      </w:r>
      <w:r>
        <w:rPr>
          <w:color w:val="000000"/>
          <w:shd w:fill="FFFFFF" w:val="clear"/>
        </w:rPr>
        <w:t xml:space="preserve"> </w:t>
      </w:r>
      <w:r>
        <w:rPr>
          <w:rFonts w:ascii="Times New Roman;serif" w:hAnsi="Times New Roman;serif"/>
          <w:b w:val="false"/>
          <w:color w:val="000000"/>
          <w:sz w:val="20"/>
          <w:shd w:fill="FFFFFF" w:val="clear"/>
        </w:rPr>
        <w:t xml:space="preserve">prior to the end date or if an extension agreement is signed. The change in the loan balance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is solely due to foreign exchange rate fluctuations. These shareholder loans were renewed and amended in connection with the New Credit Facilities Agreement.</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entered into an uncommitted revolving credit facility with a maximum availability of $20,000 and a maturity date of February 9, 2027. The facility bears interest at variable rates based on applicable reference rates (e.g., SOFR, SARON or EURIBOR) plus a margin. The average interest rate for the three months ended June 30, 2026 was 5.896%. The agreement includes customary terms and conditions, including representations and warranties, events of default and covenants typical for facilities of this nature. The lender may cancel the facility any time on short notice. As of June 30, 2026, there was $20,000 outstanding under the facility. This debt is included in “Other debt” in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Off-balance sheet arrangements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contingent liabilities include guarantees (“performance bonds”) amounting to </w:t>
      </w:r>
      <w:r>
        <w:rPr>
          <w:rFonts w:ascii="Times New Roman;serif" w:hAnsi="Times New Roman;serif"/>
          <w:b w:val="false"/>
          <w:color w:val="000000"/>
          <w:sz w:val="20"/>
        </w:rPr>
        <w:t>$20,277</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$20,246</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respectively. Through the normal course of bidding for and executing certain projects, the Company has entered into bid/performance bonds and surety bonds (collectively “performance bonds”) with various financial institutions. Customers can draw on such performance bonds if the Company does not fulfil its contractual obligations. If a performance bond is drawn, the Company would have an obligation to reimburse the financial institution for amounts paid. There have been no significant amounts reimbursed to financial institutions under these types of arrangements for the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ACCUMULATED OTHER COMPREHENSIVE INCOME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AOCI, net of tax are as follows:</w:t>
      </w:r>
    </w:p>
    <w:tbl>
      <w:tblPr>
        <w:tblW w:w="6474" w:type="dxa"/>
        <w:jc w:val="left"/>
        <w:tblInd w:w="0" w:type="dxa"/>
        <w:tblLayout w:type="fixed"/>
        <w:tblCellMar>
          <w:top w:w="28" w:type="dxa"/>
          <w:left w:w="28" w:type="dxa"/>
          <w:bottom w:w="28" w:type="dxa"/>
          <w:right w:w="28" w:type="dxa"/>
        </w:tblCellMar>
      </w:tblPr>
      <w:tblGrid>
        <w:gridCol w:w="1456"/>
        <w:gridCol w:w="1280"/>
        <w:gridCol w:w="1284"/>
        <w:gridCol w:w="211"/>
        <w:gridCol w:w="721"/>
        <w:gridCol w:w="109"/>
        <w:gridCol w:w="109"/>
        <w:gridCol w:w="109"/>
        <w:gridCol w:w="109"/>
        <w:gridCol w:w="211"/>
        <w:gridCol w:w="72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w:t>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28,248 </w:t>
            </w:r>
          </w:p>
        </w:tc>
        <w:tc>
          <w:tcPr>
            <w:tcW w:w="109"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35,276 </w:t>
            </w:r>
          </w:p>
        </w:tc>
        <w:tc>
          <w:tcPr>
            <w:tcW w:w="154"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EARNINGS (LOSS) PER SHARE</w:t>
      </w:r>
    </w:p>
    <w:p>
      <w:pPr>
        <w:pStyle w:val="TextBody"/>
        <w:bidi w:val="0"/>
        <w:spacing w:lineRule="auto" w:line="288" w:before="0" w:after="0"/>
        <w:jc w:val="both"/>
        <w:rPr/>
      </w:pPr>
      <w:r>
        <w:rPr>
          <w:rFonts w:ascii="Times New Roman;serif" w:hAnsi="Times New Roman;serif"/>
          <w:b w:val="false"/>
          <w:color w:val="000000"/>
          <w:sz w:val="20"/>
        </w:rPr>
        <w:t>Basic (loss) earnings per share is computed using the weighted-average number of outstanding shares of common stock during the period. Diluted (loss) earnings per share is computed using the weighted-average number of outstanding shares of common stock and, when dilutive, potential outstanding shares of common stock during the period. Potential shares of common stock are calculated using the treasury-stock method and consist of incremental shares issuable upon the vesting of the equity classified restricted stock awards granted in June 2025, Aebi Schmidt restricted stock awards (</w:t>
      </w:r>
      <w:r>
        <w:rPr>
          <w:color w:val="000000"/>
          <w:shd w:fill="FFFFFF" w:val="clear"/>
        </w:rPr>
        <w:t>“</w:t>
      </w:r>
      <w:r>
        <w:rPr>
          <w:rFonts w:ascii="Times New Roman;serif" w:hAnsi="Times New Roman;serif"/>
          <w:b w:val="false"/>
          <w:color w:val="000000"/>
          <w:sz w:val="20"/>
          <w:shd w:fill="FFFFFF" w:val="clear"/>
        </w:rPr>
        <w:t>RSAs”)</w:t>
      </w:r>
      <w:r>
        <w:rPr>
          <w:color w:val="000000"/>
        </w:rPr>
        <w:t xml:space="preserve"> </w:t>
      </w:r>
      <w:r>
        <w:rPr>
          <w:rFonts w:ascii="Times New Roman;serif" w:hAnsi="Times New Roman;serif"/>
          <w:b w:val="false"/>
          <w:color w:val="000000"/>
          <w:sz w:val="20"/>
        </w:rPr>
        <w:t xml:space="preserve">and the Aebi Schmidt restricted stock units </w:t>
      </w:r>
      <w:r>
        <w:rPr>
          <w:rFonts w:ascii="Times New Roman;serif" w:hAnsi="Times New Roman;serif"/>
          <w:b w:val="false"/>
          <w:color w:val="000000"/>
          <w:sz w:val="20"/>
          <w:shd w:fill="FFFFFF" w:val="clear"/>
        </w:rPr>
        <w:t>(“RSUs”)</w:t>
      </w:r>
      <w:r>
        <w:rPr>
          <w:rFonts w:ascii="Times New Roman;serif" w:hAnsi="Times New Roman;serif"/>
          <w:b w:val="false"/>
          <w:color w:val="000000"/>
          <w:sz w:val="20"/>
        </w:rPr>
        <w:t>. The computation of both earnings (loss) per share is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tbl>
      <w:tblPr>
        <w:tblW w:w="9860" w:type="dxa"/>
        <w:jc w:val="left"/>
        <w:tblInd w:w="0" w:type="dxa"/>
        <w:tblLayout w:type="fixed"/>
        <w:tblCellMar>
          <w:top w:w="28" w:type="dxa"/>
          <w:left w:w="28" w:type="dxa"/>
          <w:bottom w:w="28" w:type="dxa"/>
          <w:right w:w="28" w:type="dxa"/>
        </w:tblCellMar>
      </w:tblPr>
      <w:tblGrid>
        <w:gridCol w:w="1670"/>
        <w:gridCol w:w="1460"/>
        <w:gridCol w:w="1475"/>
        <w:gridCol w:w="227"/>
        <w:gridCol w:w="777"/>
        <w:gridCol w:w="117"/>
        <w:gridCol w:w="117"/>
        <w:gridCol w:w="117"/>
        <w:gridCol w:w="117"/>
        <w:gridCol w:w="227"/>
        <w:gridCol w:w="745"/>
        <w:gridCol w:w="117"/>
        <w:gridCol w:w="109"/>
        <w:gridCol w:w="109"/>
        <w:gridCol w:w="109"/>
        <w:gridCol w:w="215"/>
        <w:gridCol w:w="737"/>
        <w:gridCol w:w="111"/>
        <w:gridCol w:w="111"/>
        <w:gridCol w:w="111"/>
        <w:gridCol w:w="111"/>
        <w:gridCol w:w="215"/>
        <w:gridCol w:w="599"/>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computation:</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77,181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77,143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computation:</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 of common stock outstanding</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77,181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77,143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dilutive stock-based awards </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BUSINESS COMBINATION</w:t>
      </w:r>
    </w:p>
    <w:p>
      <w:pPr>
        <w:pStyle w:val="TextBody"/>
        <w:bidi w:val="0"/>
        <w:spacing w:lineRule="auto" w:line="256" w:before="0" w:after="0"/>
        <w:jc w:val="both"/>
        <w:rPr/>
      </w:pPr>
      <w:r>
        <w:rPr>
          <w:rFonts w:ascii="Times New Roman;serif" w:hAnsi="Times New Roman;serif"/>
          <w:b w:val="false"/>
          <w:color w:val="000000"/>
          <w:sz w:val="20"/>
          <w:shd w:fill="FFFFFF" w:val="clear"/>
        </w:rPr>
        <w:t xml:space="preserve">On July 1, 2025 (“Acquisition Date”), the Company acquired all outstanding equity of Shyft, a niche market leader in specialty vehicle manufacturing and assembly for the commercial and recreational vehicle industries, pursuant to the Merger Agreement. For further information regarding the Merger please refer to </w:t>
      </w:r>
      <w:r>
        <w:rPr>
          <w:color w:val="000000"/>
        </w:rPr>
        <w:t>“</w:t>
      </w:r>
      <w:r>
        <w:rPr>
          <w:rFonts w:ascii="Times New Roman;serif" w:hAnsi="Times New Roman;serif"/>
          <w:b w:val="false"/>
          <w:i/>
          <w:color w:val="000000"/>
          <w:sz w:val="20"/>
          <w:shd w:fill="FFFFFF" w:val="clear"/>
        </w:rPr>
        <w:t>Note 1- Nature of Operations and Basis of Presentation</w:t>
      </w:r>
      <w:r>
        <w:rPr>
          <w:color w:val="000000"/>
        </w:rPr>
        <w:t>”</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acquired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 xml:space="preserve">of Shyft’s voting equity interests, with the primary motivation being to enhance the Company’s product offerings in specialty vehicle solutions, expand market share in North America, and leverage Shyft’s innovative design and manufacturing capabilities. Shyft will expand the Company’s ability to provide customized vehicle solutions, including walk-in vans, truck bodies, and luxury Class A diesel motorhome custom chassis to a diverse clientele, including commercial users, original equipment manufacturers, dealers, and governmental entities, thereby providing a diversified portfolio that mitigates risk across various market cycles. Shyft was headquartered in Novi, Michigan, and is integrated into the North America Segment. Shyft’s annual sales in 2024 were </w:t>
      </w:r>
      <w:r>
        <w:rPr>
          <w:rFonts w:ascii="Times New Roman;serif" w:hAnsi="Times New Roman;serif"/>
          <w:b w:val="false"/>
          <w:color w:val="000000"/>
          <w:sz w:val="20"/>
        </w:rPr>
        <w:t>$786,176</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total consideration transferred was approximately </w:t>
      </w:r>
      <w:r>
        <w:rPr>
          <w:rFonts w:ascii="Times New Roman;serif" w:hAnsi="Times New Roman;serif"/>
          <w:b w:val="false"/>
          <w:color w:val="000000"/>
          <w:sz w:val="20"/>
        </w:rPr>
        <w:t>$443,103</w:t>
      </w:r>
      <w:r>
        <w:rPr>
          <w:rFonts w:ascii="Times New Roman;serif" w:hAnsi="Times New Roman;serif"/>
          <w:b w:val="false"/>
          <w:color w:val="000000"/>
          <w:sz w:val="20"/>
          <w:shd w:fill="FFFFFF" w:val="clear"/>
        </w:rPr>
        <w:t xml:space="preserve">. The assets acquired and liabilities assumed were recorded at their fair values as of the Acquisition Date. The Shyft acquisition was accounted for using the acquisition method of accounting with the purchase price allocated to the assets purchased and liabilities assumed based upon their estimated fair values at the date of acquisition. Identifiable intangible assets include Brand, Technology, Customer relationships and Order backlog. The excess of the purchase price over the estimated fair values of assets acquired and liabilities assumed was recorded as goodwill. In accordance with ASC 805-30-50-1(a), the goodwill recognized in this acquisition is attributed to several qualitative factors, including expected synergies from the integration of the operations of the acquiree and the acquirer, intangible assets that do not qualify for separate recognition, and other relevant factors. All of the goodwill has been assigned to the North America reportable segment. Goodwill totaled </w:t>
      </w:r>
      <w:r>
        <w:rPr>
          <w:rFonts w:ascii="Times New Roman;serif" w:hAnsi="Times New Roman;serif"/>
          <w:b w:val="false"/>
          <w:color w:val="000000"/>
          <w:sz w:val="20"/>
        </w:rPr>
        <w:t>$187,903</w:t>
      </w:r>
      <w:r>
        <w:rPr>
          <w:color w:val="000000"/>
          <w:shd w:fill="FFFFFF" w:val="clear"/>
        </w:rPr>
        <w:t xml:space="preserve"> </w:t>
      </w:r>
      <w:r>
        <w:rPr>
          <w:rFonts w:ascii="Times New Roman;serif" w:hAnsi="Times New Roman;serif"/>
          <w:b w:val="false"/>
          <w:color w:val="000000"/>
          <w:sz w:val="20"/>
          <w:shd w:fill="FFFFFF" w:val="clear"/>
        </w:rPr>
        <w:t>and is not deductible for tax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ASC 805, the allocation of the purchase price for the acquisition of Shyft was subject to adjustment during the measurement period, which may extend up to one year from the Acquisition Date. The initial allocation of assets acquired and liabilities assumed was based on preliminary estimates and assumptions, and as such, the values assigned to certain working capital balances, identifiable intangible assets, property, plant and equipment, taxes, and contingent liabilities may be adjusted as additional information became available. These adjustments could result in changes to the amounts recognized in the Consolidated Financial Statements, including potential adjustments to the goodwill recognized. The Company continued to refine its estimates and assumptions as it obtained more information, and any adjustments identified during the measurement period were recognized in the reporting period in which the adjustments were determined.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19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(i) issued and delivered to Shyft shareholders an aggregate of </w:t>
      </w:r>
      <w:r>
        <w:rPr>
          <w:rFonts w:ascii="Times New Roman;serif" w:hAnsi="Times New Roman;serif"/>
          <w:b w:val="false"/>
          <w:color w:val="000000"/>
          <w:sz w:val="20"/>
        </w:rPr>
        <w:t>36,350,634</w:t>
      </w:r>
      <w:r>
        <w:rPr>
          <w:color w:val="000000"/>
          <w:shd w:fill="FFFFFF" w:val="clear"/>
        </w:rPr>
        <w:t xml:space="preserve"> </w:t>
      </w:r>
      <w:r>
        <w:rPr>
          <w:rFonts w:ascii="Times New Roman;serif" w:hAnsi="Times New Roman;serif"/>
          <w:b w:val="false"/>
          <w:color w:val="000000"/>
          <w:sz w:val="20"/>
          <w:shd w:fill="FFFFFF" w:val="clear"/>
        </w:rPr>
        <w:t xml:space="preserve">shares of Aebi Schmidt Common Stock at </w:t>
      </w:r>
      <w:r>
        <w:rPr>
          <w:rFonts w:ascii="Times New Roman;serif" w:hAnsi="Times New Roman;serif"/>
          <w:b w:val="false"/>
          <w:color w:val="000000"/>
          <w:sz w:val="20"/>
        </w:rPr>
        <w:t>$12.06</w:t>
      </w:r>
      <w:r>
        <w:rPr>
          <w:color w:val="000000"/>
          <w:shd w:fill="FFFFFF" w:val="clear"/>
        </w:rPr>
        <w:t xml:space="preserve"> </w:t>
      </w:r>
      <w:r>
        <w:rPr>
          <w:rFonts w:ascii="Times New Roman;serif" w:hAnsi="Times New Roman;serif"/>
          <w:b w:val="false"/>
          <w:color w:val="000000"/>
          <w:sz w:val="20"/>
          <w:shd w:fill="FFFFFF" w:val="clear"/>
        </w:rPr>
        <w:t xml:space="preserve">per share, (ii) paid to Shyft fractional shareholders an aggregate amount in cash equal to </w:t>
      </w:r>
      <w:r>
        <w:rPr>
          <w:rFonts w:ascii="Times New Roman;serif" w:hAnsi="Times New Roman;serif"/>
          <w:b w:val="false"/>
          <w:color w:val="000000"/>
          <w:sz w:val="20"/>
        </w:rPr>
        <w:t>$2</w:t>
      </w:r>
      <w:r>
        <w:rPr>
          <w:color w:val="000000"/>
          <w:shd w:fill="FFFFFF" w:val="clear"/>
        </w:rPr>
        <w:t xml:space="preserve"> </w:t>
      </w:r>
      <w:r>
        <w:rPr>
          <w:rFonts w:ascii="Times New Roman;serif" w:hAnsi="Times New Roman;serif"/>
          <w:b w:val="false"/>
          <w:color w:val="000000"/>
          <w:sz w:val="20"/>
          <w:shd w:fill="FFFFFF" w:val="clear"/>
        </w:rPr>
        <w:t xml:space="preserve">(the “Cash Consideration”) and (iii) replaced Shyft equity awards amounting to </w:t>
      </w:r>
      <w:r>
        <w:rPr>
          <w:rFonts w:ascii="Times New Roman;serif" w:hAnsi="Times New Roman;serif"/>
          <w:b w:val="false"/>
          <w:color w:val="000000"/>
          <w:sz w:val="20"/>
        </w:rPr>
        <w:t>$4,866</w:t>
      </w:r>
      <w:r>
        <w:rPr>
          <w:color w:val="000000"/>
          <w:shd w:fill="FFFFFF" w:val="clear"/>
        </w:rPr>
        <w:t xml:space="preserve"> </w:t>
      </w:r>
      <w:r>
        <w:rPr>
          <w:rFonts w:ascii="Times New Roman;serif" w:hAnsi="Times New Roman;serif"/>
          <w:b w:val="false"/>
          <w:color w:val="000000"/>
          <w:sz w:val="20"/>
          <w:shd w:fill="FFFFFF" w:val="clear"/>
        </w:rPr>
        <w:t xml:space="preserve">that are allocated to consideration transferred as they relate to the pre-acquisition period. The </w:t>
      </w:r>
      <w:r>
        <w:rPr>
          <w:rFonts w:ascii="Times New Roman;serif" w:hAnsi="Times New Roman;serif"/>
          <w:b w:val="false"/>
          <w:color w:val="000000"/>
          <w:sz w:val="20"/>
        </w:rPr>
        <w:t>$443,103</w:t>
      </w:r>
      <w:r>
        <w:rPr>
          <w:color w:val="000000"/>
          <w:shd w:fill="FFFFFF" w:val="clear"/>
        </w:rPr>
        <w:t xml:space="preserve"> </w:t>
      </w:r>
      <w:r>
        <w:rPr>
          <w:rFonts w:ascii="Times New Roman;serif" w:hAnsi="Times New Roman;serif"/>
          <w:b w:val="false"/>
          <w:color w:val="000000"/>
          <w:sz w:val="20"/>
          <w:shd w:fill="FFFFFF" w:val="clear"/>
        </w:rPr>
        <w:t xml:space="preserve">of common stock was entirely comprised of Aebi Schmidt Common Stock, par value </w:t>
      </w:r>
      <w:r>
        <w:rPr>
          <w:rFonts w:ascii="Times New Roman;serif" w:hAnsi="Times New Roman;serif"/>
          <w:b w:val="false"/>
          <w:color w:val="000000"/>
          <w:sz w:val="20"/>
        </w:rPr>
        <w:t>$1.00</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purchase price was comprised of the following:</w:t>
      </w:r>
    </w:p>
    <w:p>
      <w:pPr>
        <w:pStyle w:val="TextBody"/>
        <w:bidi w:val="0"/>
        <w:spacing w:before="0" w:after="0"/>
        <w:jc w:val="left"/>
        <w:rPr/>
      </w:pPr>
      <w:r>
        <w:rPr/>
      </w:r>
    </w:p>
    <w:tbl>
      <w:tblPr>
        <w:tblW w:w="8989" w:type="dxa"/>
        <w:jc w:val="left"/>
        <w:tblInd w:w="0" w:type="dxa"/>
        <w:tblLayout w:type="fixed"/>
        <w:tblCellMar>
          <w:top w:w="28" w:type="dxa"/>
          <w:left w:w="28" w:type="dxa"/>
          <w:bottom w:w="28" w:type="dxa"/>
          <w:right w:w="28" w:type="dxa"/>
        </w:tblCellMar>
      </w:tblPr>
      <w:tblGrid>
        <w:gridCol w:w="2803"/>
        <w:gridCol w:w="2470"/>
        <w:gridCol w:w="2481"/>
        <w:gridCol w:w="219"/>
        <w:gridCol w:w="862"/>
        <w:gridCol w:w="154"/>
      </w:tblGrid>
      <w:tr>
        <w:trPr/>
        <w:tc>
          <w:tcPr>
            <w:tcW w:w="2803"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Aebi shares issued to Shyft shareholders on July 1, 2025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36,350,634 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Shyft stock price on June 30, 2025</w:t>
            </w:r>
            <w:r>
              <w:rPr>
                <w:color w:val="000000"/>
              </w:rPr>
              <w:t xml:space="preserve"> </w:t>
            </w:r>
            <w:r>
              <w:rPr>
                <w:rFonts w:ascii="Times New Roman;serif" w:hAnsi="Times New Roman;serif"/>
                <w:b w:val="false"/>
                <w:color w:val="000000"/>
                <w:sz w:val="13"/>
              </w:rPr>
              <w:t>(2)</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ratio</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(36,350,634 number of shares issued at the Fair Value of $12.06 per share)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Cash paid for fractional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Add: Fair value of Shyft Equity awards allocated to pre-acquisition period</w:t>
            </w:r>
            <w:r>
              <w:rPr>
                <w:color w:val="000000"/>
              </w:rPr>
              <w:t xml:space="preserve"> </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443,103 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Includes vested Shyft Director RSU awards.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fair value of the share consideration and the replacement awards issued to Shyft employees was determined using Shyft’s stock price, as it was considered more reliably measurable than the stock price of Aebi Schmidt. The measurement was based on Shyft’s stock price as of June 30, 2025, the last trading day prior to delisting, which occurred on the Acquisition Date of July 1, 2025.</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estimated fair value of Shyft RSAs, Shyft RSUs (other than Shyft Director RSUs), and Shyft performance stock units (“PSUs”) attributable to pre-combination services. $501 of Shyft RSAs, $1,585 of Shyft RSUs, and $2,780 of Shyft PSUs are attributed to pre-combination service.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total number of shares of Aebi Schmidt Common Stock issued as consideration, after adjusting for unvested RSAs, vested Director RSUs, and excluding fractional shares settled in cash, was 36,696,981 shares. This total comprises 36,350,634 shares issued to Shyft shareholders, of which 105,874 relating to Aebi Schmidt RSAs exchanged for Shyft RSAs that have not fully vested, and 346,347 shares that accelerated vesting upon a termination and change in control (double trigger provision). For further information regarding stock based compensation, please refer to “</w:t>
      </w:r>
      <w:r>
        <w:rPr>
          <w:rFonts w:ascii="Times New Roman;serif" w:hAnsi="Times New Roman;serif"/>
          <w:b w:val="false"/>
          <w:i/>
          <w:color w:val="000000"/>
          <w:sz w:val="20"/>
        </w:rPr>
        <w:t>Note 13 - Stock Based Compensation and Equity</w:t>
      </w:r>
      <w:r>
        <w:rPr>
          <w:color w:val="000000"/>
        </w:rPr>
        <w:t xml:space="preserve">” </w:t>
      </w:r>
      <w:r>
        <w:rPr>
          <w:rFonts w:ascii="Times New Roman;serif" w:hAnsi="Times New Roman;serif"/>
          <w:b w:val="false"/>
          <w:color w:val="000000"/>
          <w:sz w:val="20"/>
        </w:rPr>
        <w:t xml:space="preserve">in the Company's Form 10-K.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Acquisition costs in connection with the Merger incurred by the Company include acquisition-related legal and other professional fees in the total amount of </w:t>
      </w:r>
      <w:r>
        <w:rPr>
          <w:rFonts w:ascii="Times New Roman;serif" w:hAnsi="Times New Roman;serif"/>
          <w:b w:val="false"/>
          <w:color w:val="000000"/>
          <w:sz w:val="20"/>
        </w:rPr>
        <w:t>$19,169</w:t>
      </w:r>
      <w:r>
        <w:rPr>
          <w:color w:val="000000"/>
          <w:shd w:fill="FFFFFF" w:val="clear"/>
        </w:rPr>
        <w:t xml:space="preserve"> </w:t>
      </w:r>
      <w:r>
        <w:rPr>
          <w:rFonts w:ascii="Times New Roman;serif" w:hAnsi="Times New Roman;serif"/>
          <w:b w:val="false"/>
          <w:color w:val="000000"/>
          <w:sz w:val="20"/>
          <w:shd w:fill="FFFFFF" w:val="clear"/>
        </w:rPr>
        <w:t xml:space="preserve">as of the Acquisition Date, which are recognized as </w:t>
      </w:r>
      <w:r>
        <w:rPr>
          <w:rFonts w:ascii="Times New Roman;serif" w:hAnsi="Times New Roman;serif"/>
          <w:b w:val="false"/>
          <w:color w:val="000000"/>
          <w:sz w:val="20"/>
        </w:rPr>
        <w:t>$14,765 and</w:t>
      </w:r>
      <w:r>
        <w:rPr>
          <w:color w:val="000000"/>
          <w:shd w:fill="FFFFFF" w:val="clear"/>
        </w:rPr>
        <w:t xml:space="preserve"> </w:t>
      </w:r>
      <w:r>
        <w:rPr>
          <w:rFonts w:ascii="Times New Roman;serif" w:hAnsi="Times New Roman;serif"/>
          <w:b w:val="false"/>
          <w:color w:val="000000"/>
          <w:sz w:val="20"/>
        </w:rPr>
        <w:t xml:space="preserve">$4,404 </w:t>
      </w:r>
      <w:r>
        <w:rPr>
          <w:rFonts w:ascii="Times New Roman;serif" w:hAnsi="Times New Roman;serif"/>
          <w:b w:val="false"/>
          <w:color w:val="000000"/>
          <w:sz w:val="20"/>
          <w:shd w:fill="FFFFFF" w:val="clear"/>
        </w:rPr>
        <w:t xml:space="preserve">in the income statement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 2024, respectively. All amounts were recorded within other income (expense) for the respective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presents the purchase price allocation to the fair value of identifiable assets acquired and liabilities assumed as of the Acquisition Date. Measurement period adjustments were based upon information obtained about facts and circumstances that existed at the acquisition date that, if known, would have affected the measurement of the amounts recognized at that date. In the fourth quarter of 2025, the Company recorded measurement period adjustments to cash and cash equivalents, other current liabilities and accrued expenses, and intangible assets. We also adjusted deferred tax liabilities in the fourth quarter of 2025 to reflect measurement</w:t>
        <w:noBreakHyphen/>
        <w:t>period refinements to our estimated deferred tax calculation. In the first quarter of 2026, the Company recorded measurement period adjustments to other current liabilities and accrued expenses. In the second quarter of 2026, the Company recorded measurement period adjustments to inventory and other current liabilities, and adjusted the deferred tax liabilities to reflect the measurement period adjustments. The offset to these adjustments were recorded as a net decrease to goodwill.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purchase price allocation to the fair value of assets acquired and liabilities assumed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0"/>
        <w:gridCol w:w="903"/>
        <w:gridCol w:w="909"/>
        <w:gridCol w:w="329"/>
        <w:gridCol w:w="1313"/>
        <w:gridCol w:w="169"/>
        <w:gridCol w:w="109"/>
        <w:gridCol w:w="109"/>
        <w:gridCol w:w="109"/>
        <w:gridCol w:w="495"/>
        <w:gridCol w:w="1481"/>
        <w:gridCol w:w="258"/>
        <w:gridCol w:w="109"/>
        <w:gridCol w:w="109"/>
        <w:gridCol w:w="109"/>
        <w:gridCol w:w="452"/>
        <w:gridCol w:w="1805"/>
        <w:gridCol w:w="337"/>
      </w:tblGrid>
      <w:tr>
        <w:trPr/>
        <w:tc>
          <w:tcPr>
            <w:tcW w:w="11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 Price Allocation (As Adjusted)</w:t>
            </w:r>
          </w:p>
        </w:tc>
      </w:tr>
      <w:tr>
        <w:trPr/>
        <w:tc>
          <w:tcPr>
            <w:tcW w:w="2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and liabilities:</w:t>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83,889 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247,893</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(7,767)</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240,126</w:t>
            </w:r>
            <w:r>
              <w:rPr>
                <w:color w:val="000000"/>
              </w:rPr>
              <w:t>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101,832 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187,903 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185,031 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operating leases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773,453</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(9,897)</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763,556</w:t>
            </w:r>
            <w:r>
              <w:rPr>
                <w:color w:val="000000"/>
              </w:rPr>
              <w:t>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80,844 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taxes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143,170</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6,322</w:t>
            </w:r>
            <w:r>
              <w:rPr>
                <w:color w:val="000000"/>
              </w:rPr>
              <w:t>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149,492</w:t>
            </w:r>
            <w:r>
              <w:rPr>
                <w:color w:val="000000"/>
              </w:rPr>
              <w:t>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120,344 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330,350</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(9,897)</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320,453</w:t>
            </w:r>
            <w:r>
              <w:rPr>
                <w:color w:val="000000"/>
              </w:rPr>
              <w:t>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fair value allocation of purchase price</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443,103</w:t>
            </w:r>
            <w:r>
              <w:rPr>
                <w:color w:val="000000"/>
              </w:rPr>
              <w:t>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443,103</w:t>
            </w:r>
            <w:r>
              <w:rPr>
                <w:color w:val="000000"/>
              </w:rPr>
              <w:t>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value of accounts receivables acquired approximates the gross contractual amount of accounts receivable. The contractual amount not expected to be collected is immaterial.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part of the business combination, the Company recognized contingent liabilities of </w:t>
      </w:r>
      <w:r>
        <w:rPr>
          <w:rFonts w:ascii="Times New Roman;serif" w:hAnsi="Times New Roman;serif"/>
          <w:b w:val="false"/>
          <w:color w:val="000000"/>
          <w:sz w:val="20"/>
        </w:rPr>
        <w:t>$8,246</w:t>
      </w:r>
      <w:r>
        <w:rPr>
          <w:color w:val="000000"/>
          <w:shd w:fill="FFFFFF" w:val="clear"/>
        </w:rPr>
        <w:t xml:space="preserve"> </w:t>
      </w:r>
      <w:r>
        <w:rPr>
          <w:rFonts w:ascii="Times New Roman;serif" w:hAnsi="Times New Roman;serif"/>
          <w:b w:val="false"/>
          <w:color w:val="000000"/>
          <w:sz w:val="20"/>
          <w:shd w:fill="FFFFFF" w:val="clear"/>
        </w:rPr>
        <w:t>related to certain commitments. The Company measured these contingencies at fair value and the liabilities reflect management's best estimate of future payments related to these arrangements, which depends on final negotiated terms following the acquisition. The valuation incorporates probability-weighted scenarios based on expected outcomes. The Company continues to monitor these arrangements and will adjust the fair value as necessary in future reporting periods.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Intangible assets totaling </w:t>
      </w:r>
      <w:r>
        <w:rPr>
          <w:rFonts w:ascii="Times New Roman;serif" w:hAnsi="Times New Roman;serif"/>
          <w:b w:val="false"/>
          <w:color w:val="000000"/>
          <w:sz w:val="20"/>
        </w:rPr>
        <w:t>$185,031</w:t>
      </w:r>
      <w:r>
        <w:rPr>
          <w:color w:val="000000"/>
          <w:shd w:fill="FFFFFF" w:val="clear"/>
        </w:rPr>
        <w:t xml:space="preserve"> </w:t>
      </w:r>
      <w:r>
        <w:rPr>
          <w:rFonts w:ascii="Times New Roman;serif" w:hAnsi="Times New Roman;serif"/>
          <w:b w:val="false"/>
          <w:color w:val="000000"/>
          <w:sz w:val="20"/>
          <w:shd w:fill="FFFFFF" w:val="clear"/>
        </w:rPr>
        <w:t>have been assigned to Brand, Technology, Customer relationships and Order backlog as a result of the acquisition. The fair value of Customer relationships was determined using an income approach methodology, specifically the multi-period excess earnings method. The fair value of Brand and Technology was determined using an income approach methodology, specifically the relief from royalty method. Significant assumptions used in estimating future cash flows included projected revenue growth rates and discount rate for customer relationships and projected revenue growth rates, royalty rate and discount rate for brand. Intangible assets consist of the following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tbl>
      <w:tblPr>
        <w:tblW w:w="9869" w:type="dxa"/>
        <w:jc w:val="left"/>
        <w:tblInd w:w="0" w:type="dxa"/>
        <w:tblLayout w:type="fixed"/>
        <w:tblCellMar>
          <w:top w:w="28" w:type="dxa"/>
          <w:left w:w="28" w:type="dxa"/>
          <w:bottom w:w="28" w:type="dxa"/>
          <w:right w:w="28" w:type="dxa"/>
        </w:tblCellMar>
      </w:tblPr>
      <w:tblGrid>
        <w:gridCol w:w="721"/>
        <w:gridCol w:w="634"/>
        <w:gridCol w:w="640"/>
        <w:gridCol w:w="211"/>
        <w:gridCol w:w="826"/>
        <w:gridCol w:w="109"/>
        <w:gridCol w:w="109"/>
        <w:gridCol w:w="109"/>
        <w:gridCol w:w="109"/>
        <w:gridCol w:w="594"/>
        <w:gridCol w:w="594"/>
        <w:gridCol w:w="597"/>
        <w:gridCol w:w="109"/>
        <w:gridCol w:w="109"/>
        <w:gridCol w:w="109"/>
        <w:gridCol w:w="1255"/>
        <w:gridCol w:w="1255"/>
        <w:gridCol w:w="1779"/>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amortizes the Brand, Technology, Customer relationships and Order backlog utilizing a straight-line approach.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three and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Shyft generated revenue of </w:t>
      </w:r>
      <w:r>
        <w:rPr>
          <w:rFonts w:ascii="Times New Roman;serif" w:hAnsi="Times New Roman;serif"/>
          <w:b w:val="false"/>
          <w:color w:val="000000"/>
          <w:sz w:val="20"/>
        </w:rPr>
        <w:t>$210,908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$397,212</w:t>
      </w:r>
      <w:r>
        <w:rPr>
          <w:color w:val="000000"/>
          <w:shd w:fill="FFFFFF" w:val="clear"/>
        </w:rPr>
        <w:t xml:space="preserve"> </w:t>
      </w:r>
      <w:r>
        <w:rPr>
          <w:rFonts w:ascii="Times New Roman;serif" w:hAnsi="Times New Roman;serif"/>
          <w:b w:val="false"/>
          <w:color w:val="000000"/>
          <w:sz w:val="20"/>
          <w:shd w:fill="FFFFFF" w:val="clear"/>
        </w:rPr>
        <w:t xml:space="preserve">and operating income of </w:t>
      </w:r>
      <w:r>
        <w:rPr>
          <w:rFonts w:ascii="Times New Roman;serif" w:hAnsi="Times New Roman;serif"/>
          <w:b w:val="false"/>
          <w:color w:val="000000"/>
          <w:sz w:val="20"/>
        </w:rPr>
        <w:t xml:space="preserve">$13,677 and $15,328, respectively, which are included in the accompanying condensed consolidated financial statements.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applied the practical expedient in ASC 805-20-30-29 for contract assets and contract liabilities acquired in the business combination. Acquired contract assets and liabilities in the scope of ASC 606 are an exception to the ASC 805 fair value measurement principle and were measured as if Aebi Schmidt had originated the acquired contract. For each contract Aebi Schmidt reassessed the identification of performance obligations, determination of transaction price, allocation of transaction price, and measure of progress for each performance obligation as if Aebi Schmidt has been party to the original contract and recognized the resulting contract asset or liability as an asset acquired or a liability assumed. The application of this expedient aligns with the acquiree’s historical accounting and is not expected to materially affect the condensed consolidated financial statements. The Company continues to evaluate the impact of these items in subsequent periods as part of its ongoing revenue recognition processes.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SEGMENTS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identifies its operating and reportable segments based on the management structure and the financial data utilized by the chief operating decision maker (“CODM”), which was determined to be the Board of Directors, to assess segment performance and allocate resources among the operating units.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Company’s segment reporting policy identifies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operating segments, North America and Europe and ROW, as reportable segments. Financial results for each segment are presented separately to provide transparency and insight into the performance and resources of each geographic area, consistent with how the CODM reviews and assesses the Company’s operations.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CODM evaluates the performance of their reportable segments based on Segment Adjusted EBITDA (earnings before interest, taxes, depreciation and amortization), which is defined as net income before interest, taxes, depreciation, and amortization, further adjusted for foreign exchange gains and losses on external debt, restructuring and other related expenses, transaction related expenses, integration costs, settlement of acquisition, changes in repurchase liabilities for Aebi Schmidt’s employee share plan, pension related income, legal matters, changes in provisions for contingencies, non-cash stock-based compensation expenses, and other non-operating one-off items.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and taxes on income are not included in the information utilized by the CODM to assess segment performance and allocate resources, and accordingly, are excluded from the segment results presented below.</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Board of Directors assesses the Segment Adjusted EBITDA to compare to historical trends and the forecast to assess segment results, allocate capital, make strategic decisions and identify areas of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Sales and other financial information by reportable segment for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are as follows:</w:t>
      </w:r>
    </w:p>
    <w:tbl>
      <w:tblPr>
        <w:tblW w:w="7821" w:type="dxa"/>
        <w:jc w:val="left"/>
        <w:tblInd w:w="0" w:type="dxa"/>
        <w:tblLayout w:type="fixed"/>
        <w:tblCellMar>
          <w:top w:w="28" w:type="dxa"/>
          <w:left w:w="28" w:type="dxa"/>
          <w:bottom w:w="28" w:type="dxa"/>
          <w:right w:w="28" w:type="dxa"/>
        </w:tblCellMar>
      </w:tblPr>
      <w:tblGrid>
        <w:gridCol w:w="1192"/>
        <w:gridCol w:w="1053"/>
        <w:gridCol w:w="1055"/>
        <w:gridCol w:w="224"/>
        <w:gridCol w:w="1040"/>
        <w:gridCol w:w="116"/>
        <w:gridCol w:w="109"/>
        <w:gridCol w:w="109"/>
        <w:gridCol w:w="109"/>
        <w:gridCol w:w="211"/>
        <w:gridCol w:w="826"/>
        <w:gridCol w:w="109"/>
        <w:gridCol w:w="109"/>
        <w:gridCol w:w="109"/>
        <w:gridCol w:w="109"/>
        <w:gridCol w:w="211"/>
        <w:gridCol w:w="97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22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323,151 </w:t>
            </w:r>
          </w:p>
        </w:tc>
        <w:tc>
          <w:tcPr>
            <w:tcW w:w="11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110,348 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433,499 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After Sales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2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356,263 </w:t>
            </w:r>
          </w:p>
        </w:tc>
        <w:tc>
          <w:tcPr>
            <w:tcW w:w="11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2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12,598 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1,548,362 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2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21" w:type="dxa"/>
        <w:jc w:val="left"/>
        <w:tblInd w:w="0" w:type="dxa"/>
        <w:tblLayout w:type="fixed"/>
        <w:tblCellMar>
          <w:top w:w="28" w:type="dxa"/>
          <w:left w:w="28" w:type="dxa"/>
          <w:bottom w:w="28" w:type="dxa"/>
          <w:right w:w="28" w:type="dxa"/>
        </w:tblCellMar>
      </w:tblPr>
      <w:tblGrid>
        <w:gridCol w:w="1192"/>
        <w:gridCol w:w="1053"/>
        <w:gridCol w:w="1055"/>
        <w:gridCol w:w="254"/>
        <w:gridCol w:w="995"/>
        <w:gridCol w:w="131"/>
        <w:gridCol w:w="109"/>
        <w:gridCol w:w="109"/>
        <w:gridCol w:w="109"/>
        <w:gridCol w:w="211"/>
        <w:gridCol w:w="826"/>
        <w:gridCol w:w="109"/>
        <w:gridCol w:w="109"/>
        <w:gridCol w:w="109"/>
        <w:gridCol w:w="109"/>
        <w:gridCol w:w="211"/>
        <w:gridCol w:w="97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134,876 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103,254 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238,130 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After Sales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146,244 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131,499 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5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Adjusted EBITDA is as follows:</w:t>
      </w:r>
    </w:p>
    <w:tbl>
      <w:tblPr>
        <w:tblW w:w="8799" w:type="dxa"/>
        <w:jc w:val="left"/>
        <w:tblInd w:w="0" w:type="dxa"/>
        <w:tblLayout w:type="fixed"/>
        <w:tblCellMar>
          <w:top w:w="28" w:type="dxa"/>
          <w:left w:w="28" w:type="dxa"/>
          <w:bottom w:w="28" w:type="dxa"/>
          <w:right w:w="28" w:type="dxa"/>
        </w:tblCellMar>
      </w:tblPr>
      <w:tblGrid>
        <w:gridCol w:w="1070"/>
        <w:gridCol w:w="937"/>
        <w:gridCol w:w="948"/>
        <w:gridCol w:w="211"/>
        <w:gridCol w:w="826"/>
        <w:gridCol w:w="109"/>
        <w:gridCol w:w="109"/>
        <w:gridCol w:w="109"/>
        <w:gridCol w:w="109"/>
        <w:gridCol w:w="211"/>
        <w:gridCol w:w="826"/>
        <w:gridCol w:w="109"/>
        <w:gridCol w:w="109"/>
        <w:gridCol w:w="109"/>
        <w:gridCol w:w="109"/>
        <w:gridCol w:w="254"/>
        <w:gridCol w:w="995"/>
        <w:gridCol w:w="131"/>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North </w:t>
              <w:br/>
              <w:t>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356,263 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146,244 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131,499 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35,502 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16,024 </w:t>
            </w:r>
          </w:p>
        </w:tc>
        <w:tc>
          <w:tcPr>
            <w:tcW w:w="1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shd w:fill="FFFFFF" w:val="clear"/>
        </w:rPr>
        <w:t>Other segment items include, other operating income and expenses, other income and expenses, depreciation and amortization, transaction related expenses, integration costs, non-service cost related pension expense and legacy plan, foreign exchange gain on external debts and other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reconciliation of total Segment Adjusted EBITDA to Income (loss) before income taxes is as follows:</w:t>
      </w:r>
    </w:p>
    <w:tbl>
      <w:tblPr>
        <w:tblW w:w="6309" w:type="dxa"/>
        <w:jc w:val="left"/>
        <w:tblInd w:w="0" w:type="dxa"/>
        <w:tblLayout w:type="fixed"/>
        <w:tblCellMar>
          <w:top w:w="28" w:type="dxa"/>
          <w:left w:w="28" w:type="dxa"/>
          <w:bottom w:w="28" w:type="dxa"/>
          <w:right w:w="28" w:type="dxa"/>
        </w:tblCellMar>
      </w:tblPr>
      <w:tblGrid>
        <w:gridCol w:w="1397"/>
        <w:gridCol w:w="1225"/>
        <w:gridCol w:w="1233"/>
        <w:gridCol w:w="211"/>
        <w:gridCol w:w="721"/>
        <w:gridCol w:w="109"/>
        <w:gridCol w:w="109"/>
        <w:gridCol w:w="109"/>
        <w:gridCol w:w="109"/>
        <w:gridCol w:w="211"/>
        <w:gridCol w:w="72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42,113 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on external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Pension related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provision for contingencies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one-off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 xml:space="preserve">Sales and other financial information by reportable segment for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are as follows: </w:t>
      </w:r>
    </w:p>
    <w:tbl>
      <w:tblPr>
        <w:tblW w:w="7821" w:type="dxa"/>
        <w:jc w:val="left"/>
        <w:tblInd w:w="0" w:type="dxa"/>
        <w:tblLayout w:type="fixed"/>
        <w:tblCellMar>
          <w:top w:w="28" w:type="dxa"/>
          <w:left w:w="28" w:type="dxa"/>
          <w:bottom w:w="28" w:type="dxa"/>
          <w:right w:w="28" w:type="dxa"/>
        </w:tblCellMar>
      </w:tblPr>
      <w:tblGrid>
        <w:gridCol w:w="1192"/>
        <w:gridCol w:w="1053"/>
        <w:gridCol w:w="1055"/>
        <w:gridCol w:w="224"/>
        <w:gridCol w:w="1040"/>
        <w:gridCol w:w="116"/>
        <w:gridCol w:w="109"/>
        <w:gridCol w:w="109"/>
        <w:gridCol w:w="109"/>
        <w:gridCol w:w="211"/>
        <w:gridCol w:w="826"/>
        <w:gridCol w:w="109"/>
        <w:gridCol w:w="109"/>
        <w:gridCol w:w="109"/>
        <w:gridCol w:w="109"/>
        <w:gridCol w:w="211"/>
        <w:gridCol w:w="97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22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623,827 </w:t>
            </w:r>
          </w:p>
        </w:tc>
        <w:tc>
          <w:tcPr>
            <w:tcW w:w="11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191,342 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815,169 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After Sales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2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693,585 </w:t>
            </w:r>
          </w:p>
        </w:tc>
        <w:tc>
          <w:tcPr>
            <w:tcW w:w="11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258,368 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2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24,813 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1,548,362 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2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21" w:type="dxa"/>
        <w:jc w:val="left"/>
        <w:tblInd w:w="0" w:type="dxa"/>
        <w:tblLayout w:type="fixed"/>
        <w:tblCellMar>
          <w:top w:w="28" w:type="dxa"/>
          <w:left w:w="28" w:type="dxa"/>
          <w:bottom w:w="28" w:type="dxa"/>
          <w:right w:w="28" w:type="dxa"/>
        </w:tblCellMar>
      </w:tblPr>
      <w:tblGrid>
        <w:gridCol w:w="1192"/>
        <w:gridCol w:w="1053"/>
        <w:gridCol w:w="1055"/>
        <w:gridCol w:w="254"/>
        <w:gridCol w:w="995"/>
        <w:gridCol w:w="131"/>
        <w:gridCol w:w="109"/>
        <w:gridCol w:w="109"/>
        <w:gridCol w:w="109"/>
        <w:gridCol w:w="211"/>
        <w:gridCol w:w="826"/>
        <w:gridCol w:w="109"/>
        <w:gridCol w:w="109"/>
        <w:gridCol w:w="109"/>
        <w:gridCol w:w="109"/>
        <w:gridCol w:w="211"/>
        <w:gridCol w:w="97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15"/>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265,132 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175,906 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441,038 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After Sales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293,535 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233,394 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5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9,946 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5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Adjusted EBITDA is as follows:</w:t>
      </w:r>
    </w:p>
    <w:tbl>
      <w:tblPr>
        <w:tblW w:w="9019" w:type="dxa"/>
        <w:jc w:val="left"/>
        <w:tblInd w:w="0" w:type="dxa"/>
        <w:tblLayout w:type="fixed"/>
        <w:tblCellMar>
          <w:top w:w="28" w:type="dxa"/>
          <w:left w:w="28" w:type="dxa"/>
          <w:bottom w:w="28" w:type="dxa"/>
          <w:right w:w="28" w:type="dxa"/>
        </w:tblCellMar>
      </w:tblPr>
      <w:tblGrid>
        <w:gridCol w:w="1070"/>
        <w:gridCol w:w="937"/>
        <w:gridCol w:w="948"/>
        <w:gridCol w:w="229"/>
        <w:gridCol w:w="899"/>
        <w:gridCol w:w="118"/>
        <w:gridCol w:w="118"/>
        <w:gridCol w:w="118"/>
        <w:gridCol w:w="118"/>
        <w:gridCol w:w="229"/>
        <w:gridCol w:w="899"/>
        <w:gridCol w:w="118"/>
        <w:gridCol w:w="109"/>
        <w:gridCol w:w="109"/>
        <w:gridCol w:w="109"/>
        <w:gridCol w:w="229"/>
        <w:gridCol w:w="897"/>
        <w:gridCol w:w="118"/>
        <w:gridCol w:w="118"/>
        <w:gridCol w:w="118"/>
        <w:gridCol w:w="118"/>
        <w:gridCol w:w="229"/>
        <w:gridCol w:w="897"/>
        <w:gridCol w:w="167"/>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North </w:t>
              <w:br/>
              <w:t>America</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w:t>
              <w:br/>
              <w:t>America</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Europe and </w:t>
              <w:br/>
              <w:t>ROW</w:t>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2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693,585 </w:t>
            </w:r>
          </w:p>
        </w:tc>
        <w:tc>
          <w:tcPr>
            <w:tcW w:w="11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258,368 </w:t>
            </w:r>
          </w:p>
        </w:tc>
        <w:tc>
          <w:tcPr>
            <w:tcW w:w="11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293,535 </w:t>
            </w:r>
          </w:p>
        </w:tc>
        <w:tc>
          <w:tcPr>
            <w:tcW w:w="118"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233,394 </w:t>
            </w:r>
          </w:p>
        </w:tc>
        <w:tc>
          <w:tcPr>
            <w:tcW w:w="167"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563,165 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184,596 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FF0FC" w:val="clear"/>
            <w:tcMar>
              <w:top w:w="0" w:type="dxa"/>
              <w:left w:w="0" w:type="dxa"/>
              <w:bottom w:w="0" w:type="dxa"/>
              <w:right w:w="0" w:type="dxa"/>
            </w:tcMar>
            <w:vAlign w:val="center"/>
          </w:tcPr>
          <w:p>
            <w:pPr>
              <w:pStyle w:val="TableContents"/>
              <w:bidi w:val="0"/>
              <w:spacing w:lineRule="auto" w:line="276" w:before="0" w:after="3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(13,764)</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(4,173)</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61,865 </w:t>
            </w:r>
          </w:p>
        </w:tc>
        <w:tc>
          <w:tcPr>
            <w:tcW w:w="11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11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35,060 </w:t>
            </w:r>
          </w:p>
        </w:tc>
        <w:tc>
          <w:tcPr>
            <w:tcW w:w="11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67"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shd w:fill="FFFFFF" w:val="clear"/>
        </w:rPr>
        <w:t>Other segment items include, other operating income and expenses, other income and expenses, depreciation and amortization, transaction related expenses, integration costs, non-service cost related pension expense and legacy plan, foreign exchange gain on external debts and other non-recurring items.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reconciliation of total Segment Adjusted EBITDA to Income (loss) before income taxes is as follows:</w:t>
      </w:r>
    </w:p>
    <w:tbl>
      <w:tblPr>
        <w:tblW w:w="6413" w:type="dxa"/>
        <w:jc w:val="left"/>
        <w:tblInd w:w="0" w:type="dxa"/>
        <w:tblLayout w:type="fixed"/>
        <w:tblCellMar>
          <w:top w:w="28" w:type="dxa"/>
          <w:left w:w="28" w:type="dxa"/>
          <w:bottom w:w="28" w:type="dxa"/>
          <w:right w:w="28" w:type="dxa"/>
        </w:tblCellMar>
      </w:tblPr>
      <w:tblGrid>
        <w:gridCol w:w="1434"/>
        <w:gridCol w:w="1258"/>
        <w:gridCol w:w="1267"/>
        <w:gridCol w:w="211"/>
        <w:gridCol w:w="721"/>
        <w:gridCol w:w="109"/>
        <w:gridCol w:w="109"/>
        <w:gridCol w:w="109"/>
        <w:gridCol w:w="109"/>
        <w:gridCol w:w="211"/>
        <w:gridCol w:w="72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75,230 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42,570 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gains/losses on external debt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expenses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related income, net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provision for contingencies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one-off items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sales disaggregated by geography which exceed 10% of total sales:</w:t>
      </w:r>
    </w:p>
    <w:tbl>
      <w:tblPr>
        <w:tblW w:w="7339" w:type="dxa"/>
        <w:jc w:val="left"/>
        <w:tblInd w:w="0" w:type="dxa"/>
        <w:tblLayout w:type="fixed"/>
        <w:tblCellMar>
          <w:top w:w="28" w:type="dxa"/>
          <w:left w:w="28" w:type="dxa"/>
          <w:bottom w:w="28" w:type="dxa"/>
          <w:right w:w="28" w:type="dxa"/>
        </w:tblCellMar>
      </w:tblPr>
      <w:tblGrid>
        <w:gridCol w:w="390"/>
        <w:gridCol w:w="342"/>
        <w:gridCol w:w="34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340,888 </w:t>
            </w:r>
          </w:p>
        </w:tc>
        <w:tc>
          <w:tcPr>
            <w:tcW w:w="27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139,739 </w:t>
            </w:r>
          </w:p>
        </w:tc>
        <w:tc>
          <w:tcPr>
            <w:tcW w:w="27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669,126 </w:t>
            </w:r>
          </w:p>
        </w:tc>
        <w:tc>
          <w:tcPr>
            <w:tcW w:w="27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274,187 </w:t>
            </w:r>
          </w:p>
        </w:tc>
        <w:tc>
          <w:tcPr>
            <w:tcW w:w="31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138,746 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124,463 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252,763 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227,996 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31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1037"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assets disaggregated by geography that exceeds 10% of total assets:</w:t>
      </w:r>
    </w:p>
    <w:tbl>
      <w:tblPr>
        <w:tblW w:w="4636" w:type="dxa"/>
        <w:jc w:val="left"/>
        <w:tblInd w:w="0" w:type="dxa"/>
        <w:tblLayout w:type="fixed"/>
        <w:tblCellMar>
          <w:top w:w="28" w:type="dxa"/>
          <w:left w:w="28" w:type="dxa"/>
          <w:bottom w:w="28" w:type="dxa"/>
          <w:right w:w="28" w:type="dxa"/>
        </w:tblCellMar>
      </w:tblPr>
      <w:tblGrid>
        <w:gridCol w:w="390"/>
        <w:gridCol w:w="342"/>
        <w:gridCol w:w="349"/>
        <w:gridCol w:w="211"/>
        <w:gridCol w:w="976"/>
        <w:gridCol w:w="271"/>
        <w:gridCol w:w="109"/>
        <w:gridCol w:w="109"/>
        <w:gridCol w:w="109"/>
        <w:gridCol w:w="248"/>
        <w:gridCol w:w="1150"/>
        <w:gridCol w:w="372"/>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1,523,037 </w:t>
            </w:r>
          </w:p>
        </w:tc>
        <w:tc>
          <w:tcPr>
            <w:tcW w:w="2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1,495,145 </w:t>
            </w:r>
          </w:p>
        </w:tc>
        <w:tc>
          <w:tcPr>
            <w:tcW w:w="3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177,549 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335,585 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2,015,711 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2,008,279 </w:t>
            </w:r>
          </w:p>
        </w:tc>
        <w:tc>
          <w:tcPr>
            <w:tcW w:w="372"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2"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68" w:before="0" w:after="0"/>
        <w:ind w:left="0" w:right="0" w:hanging="1080"/>
        <w:jc w:val="center"/>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w:t>
      </w:r>
    </w:p>
    <w:p>
      <w:pPr>
        <w:pStyle w:val="TextBody"/>
        <w:bidi w:val="0"/>
        <w:spacing w:lineRule="auto" w:line="268" w:before="0" w:after="0"/>
        <w:ind w:left="0" w:right="0" w:firstLine="400"/>
        <w:jc w:val="both"/>
        <w:rPr/>
      </w:pPr>
      <w:r>
        <w:rPr>
          <w:rFonts w:ascii="Times New Roman;serif" w:hAnsi="Times New Roman;serif"/>
          <w:b w:val="false"/>
          <w:color w:val="000000"/>
          <w:sz w:val="20"/>
        </w:rPr>
        <w:t>The following discussion and analysis of the financial condition and results of operations of Aebi Schmidt should be read together with Aebi Schmidt’s unaudited condensed consolidated financial statements, and the related notes thereto, included elsewhere in this Quarterly Report. Unless the context requires otherwise, references to “Aebi Schmidt” in this section of the Quarterly Report refer to Aebi Schmidt and its consolidated subsidiaries. The information presented herein is based on management’s perspective of Aebi Schmidt’s results of operations. The following discussion contains forward-looking statements that reflect future plans, estimates, beliefs and expected performance. The forward-looking statements are dependent upon events, risks and uncertainties that may be outside of Aebi Schmidt’s control. Aebi Schmidt’s actual results may differ significantly from those projected in the forward-looking statements. Factors that might cause future results to differ materially from those projected in the forward-looking statements include, but are not limited to, those discussed in the section following the cover page to this Quarterly Report entitled “</w:t>
      </w:r>
      <w:r>
        <w:rPr>
          <w:rFonts w:ascii="Times New Roman;serif" w:hAnsi="Times New Roman;serif"/>
          <w:b w:val="false"/>
          <w:i/>
          <w:color w:val="000000"/>
          <w:sz w:val="20"/>
        </w:rPr>
        <w:t>Forward-Looking Statements</w:t>
      </w:r>
      <w:r>
        <w:rPr>
          <w:color w:val="000000"/>
        </w:rPr>
        <w:t>”</w:t>
      </w:r>
      <w:r>
        <w:rPr>
          <w:rFonts w:ascii="Times New Roman;serif" w:hAnsi="Times New Roman;serif"/>
          <w:b w:val="false"/>
          <w:color w:val="000000"/>
          <w:sz w:val="20"/>
        </w:rPr>
        <w:t>, and Part II, Item 1A of this Quarterly Report (</w:t>
      </w:r>
      <w:r>
        <w:rPr>
          <w:rFonts w:ascii="Times New Roman;serif" w:hAnsi="Times New Roman;serif"/>
          <w:b w:val="false"/>
          <w:i/>
          <w:color w:val="000000"/>
          <w:sz w:val="20"/>
        </w:rPr>
        <w:t>Risk Factors</w:t>
      </w:r>
      <w:r>
        <w:rPr>
          <w:rFonts w:ascii="Times New Roman;serif" w:hAnsi="Times New Roman;serif"/>
          <w:b w:val="false"/>
          <w:color w:val="000000"/>
          <w:sz w:val="20"/>
        </w:rPr>
        <w:t>), as well as the section entitled “Risk Factors” in the Company's Annual Report on Form 10-K for the year ended December 31, 2025 (the “Form 10-K”).</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Aebi Schmidt is a provider of innovative technical products for cleaning and clearing traffic areas as well as mowing green spaces in particularly challenging terrain. The range of products include vehicles, attachable and demountable devices for individual vehicle equipment as well as related services. In addition, the Company manufactures and assembles specialty vehicles for commercial and recreational applications, including walk-in vans, truck bodies for last-mile delivery, vocation-specific upfit solutions, and luxury motorhome chassis. It also offers replacement parts, repair, maintenance, and refurbishment services for these vehicles. Aebi Schmidt covers the European and North American markets with its own sales organizations while clients outside of these markets are served either directly by the exporting subsidiary or indirectly by the worldwide dealer network.</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On July 1, 2025, Aebi Schmidt acquired 100% of the outstanding equity interests of The Shyft Group, Inc. (“Shyft”), a niche market leader in specialty vehicle manufacturing and assembly for the commercial and recreational vehicle industries, through a merger (the “Merger”). The Merger involved 100% of the voting equity interests of Shyft, with the primary reasons for the combination being to enhance our product offerings in specialty vehicle solutions, develop our market share in North America, and to leverage Shyft's innovative design and manufacturing capabilities.</w:t>
      </w:r>
    </w:p>
    <w:p>
      <w:pPr>
        <w:pStyle w:val="TextBody"/>
        <w:bidi w:val="0"/>
        <w:spacing w:before="0" w:after="0"/>
        <w:ind w:left="0" w:right="0" w:firstLine="400"/>
        <w:jc w:val="both"/>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rPr>
        <w:t xml:space="preserve">Aebi Schmidt operates in two reportable segments, which consist of (i) North America and (ii) Europe and the Rest of the World (“ROW”). </w:t>
      </w:r>
      <w:r>
        <w:rPr>
          <w:rFonts w:ascii="Times New Roman;serif" w:hAnsi="Times New Roman;serif"/>
          <w:b w:val="false"/>
          <w:color w:val="000000"/>
          <w:sz w:val="20"/>
          <w:shd w:fill="FFFFFF" w:val="clear"/>
        </w:rPr>
        <w:t xml:space="preserve">Operating results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are not necessarily indicative of the results we may achieve for the full year ending </w:t>
      </w:r>
      <w:r>
        <w:rPr>
          <w:rFonts w:ascii="Times New Roman;serif" w:hAnsi="Times New Roman;serif"/>
          <w:b w:val="false"/>
          <w:color w:val="000000"/>
          <w:sz w:val="20"/>
        </w:rPr>
        <w:t>December 31, 2026</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North America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Aebi Schmidt North America segment offers a wide range of vehicles, equipment, and services primarily across four of our five lines of business: Airport &amp; Chassis, Commercial Trucks, Goods Transport, and Municipal. Aebi Schmidt operates as a key player in providing innovative solutions for snow removal, street cleaning, and other essential services that enhance infrastructure and public safety. The Merger with Shyft in July 2025 allowed Aebi Schmidt to penetrate additional markets and product lines, as well as combine Aebi Schmidt’s commercial business with Shyft’s fleet and commercial business, optimizing Aebi Schmidt’s purchasing and production capacity.</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Europe and the ROW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Europe and the ROW, Aebi Schmidt offers a wide range of vehicles, equipment and services primarily across three of our five lines of business: Airport &amp; Chassis, Municipal and Agriculture. Aebi Schmidt has long-lasting relationships with airports and municipalities across Europe and with international customers. Aebi Schmidt offers a wide range of products tailored to European and international markets, including snowplows, street sweepers, multifunctional vehicles, and specialized equipment for airport operations. Aebi Schmidt has established a strong reputation for quality and reliability, with innovative solutions that enhance efficiency and sustainability through its technological features.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Key Performance Indicators</w:t>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Aebi Schmidt reviews the following key performance indicators on a regular basis in order to evaluate the financial and operating performance of its business, identify trends affecting its performance, prepare financial projections, and make strategic decisions. Aebi Schmidt’s key performance indicators are not based on any standardized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methodology and are not necessarily calculated in the same manner or comparable to similarly titled measures presented by other companies. Similarly, Aebi Schmidt’s key metrics may differ from estimates published by third parties or from similarly titled metrics of its competitors due to differences in methodology. The numbers that Aebi Schmidt uses to calculate its key performance indicators are based on internal data. While these numbers are based on what Aebi Schmidt believes to be reasonable judgments and estimates for the applicable period of measurement, there are inherent challenges in measuring usage and engagement. Increases or decreases in Aebi Schmidt’s key performance indicators may not correspond with increases or decreases in its revenue. Aebi Schmidt regularly reviews and may adjust its processes for calculating its internal metrics to improve their accuracy. In addition to the key performance indicators summarized below, Aebi Schmidt also evaluates certain non-GAAP financial measures (i.e. Adjusted EBITDA and Adjusted EBITDA margin), which are further summarized in the Non-GAAP Financial Measures section below.</w:t>
      </w:r>
    </w:p>
    <w:p>
      <w:pPr>
        <w:pStyle w:val="TextBody"/>
        <w:bidi w:val="0"/>
        <w:spacing w:before="0" w:after="0"/>
        <w:jc w:val="both"/>
        <w:rPr/>
      </w:pPr>
      <w:r>
        <w:rPr/>
      </w:r>
    </w:p>
    <w:p>
      <w:pPr>
        <w:pStyle w:val="TextBody"/>
        <w:bidi w:val="0"/>
        <w:spacing w:lineRule="auto" w:line="288" w:before="0" w:after="240"/>
        <w:ind w:left="0" w:right="0" w:firstLine="400"/>
        <w:jc w:val="both"/>
        <w:rPr/>
      </w:pPr>
      <w:r>
        <w:rPr>
          <w:rFonts w:ascii="Times New Roman;serif" w:hAnsi="Times New Roman;serif"/>
          <w:b w:val="false"/>
          <w:color w:val="000000"/>
          <w:sz w:val="20"/>
          <w:shd w:fill="FFFFFF" w:val="clear"/>
        </w:rPr>
        <w:t xml:space="preserve">The following table presents a summary of Aebi Schmidt’s key performance indicators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w:t>
      </w:r>
    </w:p>
    <w:tbl>
      <w:tblPr>
        <w:tblW w:w="6107" w:type="dxa"/>
        <w:jc w:val="left"/>
        <w:tblInd w:w="0" w:type="dxa"/>
        <w:tblLayout w:type="fixed"/>
        <w:tblCellMar>
          <w:top w:w="28" w:type="dxa"/>
          <w:left w:w="28" w:type="dxa"/>
          <w:bottom w:w="28" w:type="dxa"/>
          <w:right w:w="28" w:type="dxa"/>
        </w:tblCellMar>
      </w:tblPr>
      <w:tblGrid>
        <w:gridCol w:w="1107"/>
        <w:gridCol w:w="975"/>
        <w:gridCol w:w="977"/>
        <w:gridCol w:w="211"/>
        <w:gridCol w:w="826"/>
        <w:gridCol w:w="271"/>
        <w:gridCol w:w="109"/>
        <w:gridCol w:w="109"/>
        <w:gridCol w:w="109"/>
        <w:gridCol w:w="211"/>
        <w:gridCol w:w="826"/>
        <w:gridCol w:w="376"/>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3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27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37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7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42,570 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(1)</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7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(21,216)</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Adjusted EBITDA and Adjusted EBITDA margin are non-GAAP financial measures. See the section titled “Non-GAAP Financial Measures” below for the definitions of these measures and the reconciliations to the most directly comparable U.S.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Three months ended June 30, 2026</w:t>
      </w:r>
      <w:r>
        <w:rPr>
          <w:color w:val="000000"/>
          <w:shd w:fill="FFFFFF" w:val="clear"/>
        </w:rPr>
        <w:t xml:space="preserve"> </w:t>
      </w:r>
      <w:r>
        <w:rPr>
          <w:rFonts w:ascii="Times New Roman;serif" w:hAnsi="Times New Roman;serif"/>
          <w:b/>
          <w:i/>
          <w:color w:val="000000"/>
          <w:sz w:val="20"/>
          <w:shd w:fill="FFFFFF" w:val="clear"/>
        </w:rPr>
        <w:t xml:space="preserve">compared with </w:t>
      </w:r>
      <w:r>
        <w:rPr>
          <w:rFonts w:ascii="Times New Roman;serif" w:hAnsi="Times New Roman;serif"/>
          <w:b/>
          <w:i/>
          <w:color w:val="000000"/>
          <w:sz w:val="20"/>
        </w:rPr>
        <w:t>three months ended June 30, 2025</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Results for Aebi Schmidt 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compared to results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733"/>
        <w:gridCol w:w="1496"/>
        <w:gridCol w:w="14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0"/>
        <w:gridCol w:w="211"/>
        <w:gridCol w:w="637"/>
      </w:tblGrid>
      <w:tr>
        <w:trPr/>
        <w:tc>
          <w:tcPr>
            <w:tcW w:w="173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4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218,665 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63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6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97,292</w:t>
            </w:r>
            <w:r>
              <w:rPr>
                <w:color w:val="000000"/>
              </w:rPr>
              <w:t>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56,832</w:t>
            </w:r>
            <w:r>
              <w:rPr>
                <w:color w:val="000000"/>
              </w:rPr>
              <w:t>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40,460</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6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3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63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(70,252)</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(42,973)</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(27,279)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27,040</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13,859</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13,181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95</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63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Aebi Schmidt Holding AG</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10,510</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(2,310)</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12,820</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n.m. – not meaningful</w:t>
            </w:r>
          </w:p>
        </w:tc>
      </w:tr>
    </w:tbl>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Sales</w:t>
      </w:r>
    </w:p>
    <w:p>
      <w:pPr>
        <w:pStyle w:val="TextBody"/>
        <w:bidi w:val="0"/>
        <w:spacing w:lineRule="auto" w:line="268" w:before="0" w:after="0"/>
        <w:ind w:left="0" w:right="0" w:firstLine="400"/>
        <w:jc w:val="both"/>
        <w:rPr/>
      </w:pPr>
      <w:r>
        <w:rPr>
          <w:rFonts w:ascii="Times New Roman;serif" w:hAnsi="Times New Roman;serif"/>
          <w:b w:val="false"/>
          <w:color w:val="000000"/>
          <w:sz w:val="20"/>
        </w:rPr>
        <w:t xml:space="preserve">Sales increased by $218.7 million, or 79%, to $496.4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$277.7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increase in sales was primarily driven by sales attributed to Shyft of $210.9 million, an increase in new business sales of $6.1 million, and an increase in after sales of $1.7 million. </w:t>
      </w:r>
    </w:p>
    <w:p>
      <w:pPr>
        <w:pStyle w:val="TextBody"/>
        <w:bidi w:val="0"/>
        <w:spacing w:before="0" w:after="0"/>
        <w:ind w:left="0" w:right="0" w:firstLine="40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products sold</w:t>
      </w:r>
    </w:p>
    <w:p>
      <w:pPr>
        <w:pStyle w:val="TextBody"/>
        <w:bidi w:val="0"/>
        <w:spacing w:lineRule="auto" w:line="268" w:before="0" w:after="0"/>
        <w:ind w:left="0" w:right="0" w:firstLine="400"/>
        <w:jc w:val="both"/>
        <w:rPr/>
      </w:pPr>
      <w:r>
        <w:rPr>
          <w:rFonts w:ascii="Times New Roman;serif" w:hAnsi="Times New Roman;serif"/>
          <w:b w:val="false"/>
          <w:color w:val="000000"/>
          <w:sz w:val="20"/>
        </w:rPr>
        <w:t xml:space="preserve">Cost of products sold increased by $178.2 million, or 81%, to $399.1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from $220.9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cost of products sold was driven by $170.7 million in costs attributable to Shyft and an increase of $7.5 million in costs related to new business sales.</w:t>
      </w:r>
    </w:p>
    <w:p>
      <w:pPr>
        <w:pStyle w:val="TextBody"/>
        <w:bidi w:val="0"/>
        <w:spacing w:before="0" w:after="0"/>
        <w:ind w:left="0" w:right="0" w:firstLine="40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68" w:before="0" w:after="0"/>
        <w:jc w:val="both"/>
        <w:rPr/>
      </w:pPr>
      <w:r>
        <w:rPr>
          <w:rFonts w:ascii="Times New Roman;serif" w:hAnsi="Times New Roman;serif"/>
          <w:b w:val="false"/>
          <w:color w:val="000000"/>
          <w:sz w:val="20"/>
        </w:rPr>
        <w:t>Research and development expense increased by $1.0 million, or 19%, to $6.4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$5.4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color w:val="000000"/>
          <w:shd w:fill="FFFFFF" w:val="clear"/>
        </w:rPr>
        <w:t xml:space="preserve"> </w:t>
      </w:r>
      <w:r>
        <w:rPr>
          <w:rFonts w:ascii="Times New Roman;serif" w:hAnsi="Times New Roman;serif"/>
          <w:b w:val="false"/>
          <w:color w:val="000000"/>
          <w:sz w:val="20"/>
        </w:rPr>
        <w:t>driven by an increase of $1.0 million in activity attributable to Shyft.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68" w:before="0" w:after="0"/>
        <w:jc w:val="both"/>
        <w:rPr/>
      </w:pPr>
      <w:r>
        <w:rPr>
          <w:rFonts w:ascii="Times New Roman;serif" w:hAnsi="Times New Roman;serif"/>
          <w:b w:val="false"/>
          <w:color w:val="000000"/>
          <w:sz w:val="20"/>
        </w:rPr>
        <w:t>Selling, general and administrative expense increased by $22.1 million, or 66%, to $55.8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$33.6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increase in selling,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29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administrative expense was primarily driven by an increase of $20.7 million in costs attributable to Shyft, an increase in management costs of $0.6 million, and an increase in IT costs of $0.7 million.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Amortization of purchased intangibles</w:t>
      </w:r>
    </w:p>
    <w:p>
      <w:pPr>
        <w:pStyle w:val="TextBody"/>
        <w:bidi w:val="0"/>
        <w:spacing w:lineRule="auto" w:line="268" w:before="0" w:after="0"/>
        <w:ind w:left="0" w:right="0" w:firstLine="400"/>
        <w:jc w:val="both"/>
        <w:rPr/>
      </w:pPr>
      <w:r>
        <w:rPr>
          <w:rFonts w:ascii="Times New Roman;serif" w:hAnsi="Times New Roman;serif"/>
          <w:b w:val="false"/>
          <w:color w:val="000000"/>
          <w:sz w:val="20"/>
        </w:rPr>
        <w:t>Amortization of purchased intangibles increased by $4.8 million, or 135%, to $8.4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$3.6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is primarily attributable to amortization of $4.8 million related to the intangible assets acquired as part of the Merger with Shyft.</w:t>
      </w:r>
    </w:p>
    <w:p>
      <w:pPr>
        <w:pStyle w:val="TextBody"/>
        <w:bidi w:val="0"/>
        <w:spacing w:before="0" w:after="0"/>
        <w:ind w:left="0" w:right="0" w:firstLine="40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operating income (expense)</w:t>
      </w:r>
    </w:p>
    <w:p>
      <w:pPr>
        <w:pStyle w:val="TextBody"/>
        <w:bidi w:val="0"/>
        <w:spacing w:lineRule="auto" w:line="268" w:before="0" w:after="0"/>
        <w:jc w:val="both"/>
        <w:rPr/>
      </w:pPr>
      <w:r>
        <w:rPr>
          <w:rFonts w:ascii="Times New Roman;serif" w:hAnsi="Times New Roman;serif"/>
          <w:b w:val="false"/>
          <w:color w:val="000000"/>
          <w:sz w:val="20"/>
        </w:rPr>
        <w:t>Other operating income increased by $0.7 million to $0.3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other operating expense of $0.4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other operating income was primarily driven by an increase of net foreign exchange gains of $0.7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68" w:before="0" w:after="0"/>
        <w:jc w:val="both"/>
        <w:rPr/>
      </w:pPr>
      <w:r>
        <w:rPr>
          <w:rFonts w:ascii="Times New Roman;serif" w:hAnsi="Times New Roman;serif"/>
          <w:b w:val="false"/>
          <w:color w:val="000000"/>
          <w:sz w:val="20"/>
        </w:rPr>
        <w:t>Interest expense increased by $1.8 million, or 20%, to $11.1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$9.3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interest expense was primarily driven by an increase in interest expense attributable to Aebi Schmidt of $3.4 million and interest expense attributable to Shyft of $0.5 million, offset by a decrease of $2.4 million in costs related to the refinancing in connection with the Merger.</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 (expense)</w:t>
      </w:r>
    </w:p>
    <w:p>
      <w:pPr>
        <w:pStyle w:val="TextBody"/>
        <w:bidi w:val="0"/>
        <w:spacing w:lineRule="auto" w:line="268" w:before="0" w:after="0"/>
        <w:jc w:val="both"/>
        <w:rPr/>
      </w:pPr>
      <w:r>
        <w:rPr>
          <w:rFonts w:ascii="Times New Roman;serif" w:hAnsi="Times New Roman;serif"/>
          <w:b w:val="false"/>
          <w:color w:val="000000"/>
          <w:sz w:val="20"/>
        </w:rPr>
        <w:t xml:space="preserve">Other expense decreased by $7.2 million to $0.6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other expense of $7.8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in other expense was driven by a decrease in transaction related expense of $6.1 million and decreases in net foreign exchange losses on financial positions of $2.6 million, partially offset by the incurrence of integration and restructuring costs of $0.6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 (expense) benefit</w:t>
      </w:r>
    </w:p>
    <w:p>
      <w:pPr>
        <w:pStyle w:val="TextBody"/>
        <w:bidi w:val="0"/>
        <w:spacing w:lineRule="auto" w:line="268" w:before="0" w:after="0"/>
        <w:jc w:val="both"/>
        <w:rPr/>
      </w:pPr>
      <w:r>
        <w:rPr>
          <w:rFonts w:ascii="Times New Roman;serif" w:hAnsi="Times New Roman;serif"/>
          <w:b w:val="false"/>
          <w:color w:val="000000"/>
          <w:sz w:val="20"/>
        </w:rPr>
        <w:t>Income tax expense increased by $5.7 million to $4.8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income tax benefit of $0.9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income tax expense was primarily driven by higher taxable income in the three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2026 compared with six months ended June 30, 2025</w:t>
      </w:r>
    </w:p>
    <w:p>
      <w:pPr>
        <w:pStyle w:val="TextBody"/>
        <w:bidi w:val="0"/>
        <w:spacing w:before="0" w:after="0"/>
        <w:jc w:val="left"/>
        <w:rPr/>
      </w:pPr>
      <w:r>
        <w:rPr/>
      </w:r>
    </w:p>
    <w:p>
      <w:pPr>
        <w:pStyle w:val="TextBody"/>
        <w:bidi w:val="0"/>
        <w:spacing w:lineRule="auto" w:line="288" w:before="0" w:after="240"/>
        <w:ind w:left="0" w:right="0" w:firstLine="400"/>
        <w:jc w:val="both"/>
        <w:rPr/>
      </w:pPr>
      <w:r>
        <w:rPr>
          <w:rFonts w:ascii="Times New Roman;serif" w:hAnsi="Times New Roman;serif"/>
          <w:b w:val="false"/>
          <w:color w:val="000000"/>
          <w:sz w:val="20"/>
          <w:shd w:fill="FFFFFF" w:val="clear"/>
        </w:rPr>
        <w:t xml:space="preserve">Results for Aebi Schmidt 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compared to results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707"/>
        <w:gridCol w:w="1467"/>
        <w:gridCol w:w="14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0"/>
        <w:gridCol w:w="211"/>
        <w:gridCol w:w="721"/>
      </w:tblGrid>
      <w:tr>
        <w:trPr/>
        <w:tc>
          <w:tcPr>
            <w:tcW w:w="170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425,024 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72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184,681</w:t>
            </w:r>
            <w:r>
              <w:rPr>
                <w:color w:val="000000"/>
              </w:rPr>
              <w:t>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110,138</w:t>
            </w:r>
            <w:r>
              <w:rPr>
                <w:color w:val="000000"/>
              </w:rPr>
              <w:t>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74,543</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(142,273)</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(81,885)</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(60,388)</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42,408</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28,253</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14,155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Aebi Schmidt Holding AG</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11,205</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(235)</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11,440</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n.m. – not meaningful</w:t>
            </w:r>
          </w:p>
        </w:tc>
      </w:tr>
    </w:tbl>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Sales</w:t>
      </w:r>
    </w:p>
    <w:p>
      <w:pPr>
        <w:pStyle w:val="TextBody"/>
        <w:bidi w:val="0"/>
        <w:spacing w:lineRule="auto" w:line="268" w:before="0" w:after="0"/>
        <w:jc w:val="both"/>
        <w:rPr/>
      </w:pPr>
      <w:r>
        <w:rPr>
          <w:rFonts w:ascii="Times New Roman;serif" w:hAnsi="Times New Roman;serif"/>
          <w:b w:val="false"/>
          <w:color w:val="000000"/>
          <w:sz w:val="20"/>
        </w:rPr>
        <w:t xml:space="preserve">Sales increased by $425.0 million, or 81%, to $952.0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$526.9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sales was primarily driven by $397.2 million in sales attributable to Shyft, an increase in new business sales of $16.2 million, and an increase in after sales of $11.6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products sold</w:t>
      </w:r>
    </w:p>
    <w:p>
      <w:pPr>
        <w:pStyle w:val="TextBody"/>
        <w:bidi w:val="0"/>
        <w:spacing w:lineRule="auto" w:line="268" w:before="0" w:after="0"/>
        <w:jc w:val="both"/>
        <w:rPr/>
      </w:pPr>
      <w:r>
        <w:rPr>
          <w:rFonts w:ascii="Times New Roman;serif" w:hAnsi="Times New Roman;serif"/>
          <w:b w:val="false"/>
          <w:color w:val="000000"/>
          <w:sz w:val="20"/>
        </w:rPr>
        <w:t>Cost of products sold increased by $350.5 million, or 84%, to $767.3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$416.8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cost of products sold was driven by $327.5 million in costs of products sold attributable to Shyft, an increase of $17.3 million in costs related to new business sales, and an increase of $5.7 million in costs related to after sales.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68" w:before="0" w:after="0"/>
        <w:jc w:val="both"/>
        <w:rPr/>
      </w:pPr>
      <w:r>
        <w:rPr>
          <w:rFonts w:ascii="Times New Roman;serif" w:hAnsi="Times New Roman;serif"/>
          <w:b w:val="false"/>
          <w:color w:val="000000"/>
          <w:sz w:val="20"/>
        </w:rPr>
        <w:t>Research and development expense increased by $3.0 million, or 31%, to $13.1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$10.1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research and development expense was primarily driven by $2.1 million in costs attributable to Shyft and the development of product solutions.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68" w:before="0" w:after="0"/>
        <w:jc w:val="both"/>
        <w:rPr/>
      </w:pPr>
      <w:r>
        <w:rPr>
          <w:rFonts w:ascii="Times New Roman;serif" w:hAnsi="Times New Roman;serif"/>
          <w:b w:val="false"/>
          <w:color w:val="000000"/>
          <w:sz w:val="20"/>
        </w:rPr>
        <w:t>Selling, general and administrative expense increased by $50.0 million, or 78%, to $114.2 million in</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$64.3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increase in selling,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31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administrative expense was primarily driven by $43.0 million in costs attributable to Shyft, along with an increase in finance department expenses of $1.4 million, an increase in sales department costs of $2.1 million, and an increase in IT costs of $2.0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Amortization of purchased intangibles</w:t>
      </w:r>
    </w:p>
    <w:p>
      <w:pPr>
        <w:pStyle w:val="TextBody"/>
        <w:bidi w:val="0"/>
        <w:spacing w:lineRule="auto" w:line="268" w:before="0" w:after="0"/>
        <w:ind w:left="0" w:right="0" w:firstLine="400"/>
        <w:jc w:val="both"/>
        <w:rPr/>
      </w:pPr>
      <w:r>
        <w:rPr>
          <w:rFonts w:ascii="Times New Roman;serif" w:hAnsi="Times New Roman;serif"/>
          <w:b w:val="false"/>
          <w:color w:val="000000"/>
          <w:sz w:val="20"/>
        </w:rPr>
        <w:t>Amortization of purchased intangibles increased by $9.3 million, or 130%, to $16.5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$7.1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is primarily attributable to amortization of $9.3 million related to intangible assets acquired as part of the Merger with Shyft.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operating income (expense)</w:t>
      </w:r>
    </w:p>
    <w:p>
      <w:pPr>
        <w:pStyle w:val="TextBody"/>
        <w:bidi w:val="0"/>
        <w:spacing w:lineRule="auto" w:line="268" w:before="0" w:after="0"/>
        <w:jc w:val="both"/>
        <w:rPr/>
      </w:pPr>
      <w:r>
        <w:rPr>
          <w:rFonts w:ascii="Times New Roman;serif" w:hAnsi="Times New Roman;serif"/>
          <w:b w:val="false"/>
          <w:color w:val="000000"/>
          <w:sz w:val="20"/>
        </w:rPr>
        <w:t xml:space="preserve">Other operating income increased by $2.0 million to $1.6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other operating expense of $0.4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other operating income was primarily driven by an increase of net foreign exchange gains of $1.6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68" w:before="0" w:after="0"/>
        <w:jc w:val="both"/>
        <w:rPr/>
      </w:pPr>
      <w:r>
        <w:rPr>
          <w:rFonts w:ascii="Times New Roman;serif" w:hAnsi="Times New Roman;serif"/>
          <w:b w:val="false"/>
          <w:color w:val="000000"/>
          <w:sz w:val="20"/>
        </w:rPr>
        <w:t xml:space="preserve">Interest expense increased by $6.7 million, or 42%, to $22.5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$15.8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interest expense was primarily driven by an increase in interest expense attributable to Aebi Schmidt of $7.1 million and interest expense attributable to Shyft of $1.3 million, offset by a decrease of $2.0 million in costs related to the refinancing in connection with the Merger.</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 (expense)</w:t>
      </w:r>
    </w:p>
    <w:p>
      <w:pPr>
        <w:pStyle w:val="TextBody"/>
        <w:bidi w:val="0"/>
        <w:spacing w:lineRule="auto" w:line="288" w:before="0" w:after="0"/>
        <w:jc w:val="both"/>
        <w:rPr/>
      </w:pPr>
      <w:r>
        <w:rPr>
          <w:rFonts w:ascii="Times New Roman;serif" w:hAnsi="Times New Roman;serif"/>
          <w:b w:val="false"/>
          <w:color w:val="000000"/>
          <w:sz w:val="20"/>
        </w:rPr>
        <w:t>Other expense decreased by $9.3 million, or 73%, to $3.5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from other expense of $12.8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in other expense was driven primarily by a decrease in transaction related expense of $10.7 million and decreases in net foreign exchange losses on financial positions of $3.3 million, partially offset by the incurrence of integration and restructuring costs of $2.6 million and costs of legal proceedings and settlements of $0.8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 (expense) benefit</w:t>
      </w:r>
    </w:p>
    <w:p>
      <w:pPr>
        <w:pStyle w:val="TextBody"/>
        <w:bidi w:val="0"/>
        <w:spacing w:lineRule="auto" w:line="268" w:before="0" w:after="0"/>
        <w:jc w:val="both"/>
        <w:rPr/>
      </w:pPr>
      <w:r>
        <w:rPr>
          <w:rFonts w:ascii="Times New Roman;serif" w:hAnsi="Times New Roman;serif"/>
          <w:b w:val="false"/>
          <w:color w:val="000000"/>
          <w:sz w:val="20"/>
        </w:rPr>
        <w:t>Income tax expense increased by $5.4 million to an expense of $5.3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a benefit of $0.1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increase in income tax expense was primarily driven by higher taxable income </w:t>
      </w:r>
      <w:r>
        <w:rPr>
          <w:rFonts w:ascii="Times New Roman;serif" w:hAnsi="Times New Roman;serif"/>
          <w:b w:val="false"/>
          <w:color w:val="000000"/>
          <w:sz w:val="20"/>
          <w:shd w:fill="FFFFFF" w:val="clear"/>
        </w:rPr>
        <w:t>in the six months ended June 30, 2026</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Results of Operations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Aebi Schmidt operates its business as two reportable segments: (i) North America and (ii) Europe and ROW. Both segments operate separately with limited cross-selling activities. The information below includes Sales and Adjusted EBITDA by reportable segment, consistent with information presented for financial reporting purposes in Note 13 to Aebi Schmidt’s unaudited condensed consolidated financial statements included elsewhere in this Quarterly Report.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20"/>
        </w:rPr>
        <w:t>Three months ended June 30, 2026</w:t>
      </w:r>
      <w:r>
        <w:rPr>
          <w:color w:val="000000"/>
          <w:shd w:fill="FFFFFF" w:val="clear"/>
        </w:rPr>
        <w:t xml:space="preserve"> </w:t>
      </w:r>
      <w:r>
        <w:rPr>
          <w:rFonts w:ascii="Times New Roman;serif" w:hAnsi="Times New Roman;serif"/>
          <w:b/>
          <w:i/>
          <w:color w:val="000000"/>
          <w:sz w:val="20"/>
          <w:shd w:fill="FFFFFF" w:val="clear"/>
        </w:rPr>
        <w:t xml:space="preserve">compared with </w:t>
      </w:r>
      <w:r>
        <w:rPr>
          <w:rFonts w:ascii="Times New Roman;serif" w:hAnsi="Times New Roman;serif"/>
          <w:b/>
          <w:i/>
          <w:color w:val="000000"/>
          <w:sz w:val="20"/>
        </w:rPr>
        <w:t>three months ended June 30, 2025</w:t>
      </w:r>
    </w:p>
    <w:tbl>
      <w:tblPr>
        <w:tblW w:w="7199" w:type="dxa"/>
        <w:jc w:val="left"/>
        <w:tblInd w:w="0" w:type="dxa"/>
        <w:tblLayout w:type="fixed"/>
        <w:tblCellMar>
          <w:top w:w="28" w:type="dxa"/>
          <w:left w:w="28" w:type="dxa"/>
          <w:bottom w:w="28" w:type="dxa"/>
          <w:right w:w="28" w:type="dxa"/>
        </w:tblCellMar>
      </w:tblPr>
      <w:tblGrid>
        <w:gridCol w:w="852"/>
        <w:gridCol w:w="750"/>
        <w:gridCol w:w="752"/>
        <w:gridCol w:w="254"/>
        <w:gridCol w:w="995"/>
        <w:gridCol w:w="131"/>
        <w:gridCol w:w="109"/>
        <w:gridCol w:w="109"/>
        <w:gridCol w:w="109"/>
        <w:gridCol w:w="298"/>
        <w:gridCol w:w="1168"/>
        <w:gridCol w:w="154"/>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Europe and 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356,263 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140,145 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496,408 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35,502 </w:t>
            </w:r>
          </w:p>
        </w:tc>
        <w:tc>
          <w:tcPr>
            <w:tcW w:w="1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99" w:type="dxa"/>
        <w:jc w:val="left"/>
        <w:tblInd w:w="0" w:type="dxa"/>
        <w:tblLayout w:type="fixed"/>
        <w:tblCellMar>
          <w:top w:w="28" w:type="dxa"/>
          <w:left w:w="28" w:type="dxa"/>
          <w:bottom w:w="28" w:type="dxa"/>
          <w:right w:w="28" w:type="dxa"/>
        </w:tblCellMar>
      </w:tblPr>
      <w:tblGrid>
        <w:gridCol w:w="852"/>
        <w:gridCol w:w="749"/>
        <w:gridCol w:w="753"/>
        <w:gridCol w:w="254"/>
        <w:gridCol w:w="995"/>
        <w:gridCol w:w="131"/>
        <w:gridCol w:w="109"/>
        <w:gridCol w:w="109"/>
        <w:gridCol w:w="109"/>
        <w:gridCol w:w="298"/>
        <w:gridCol w:w="1168"/>
        <w:gridCol w:w="154"/>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Europe and 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146,244 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131,499 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277,743 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16,024 </w:t>
            </w:r>
          </w:p>
        </w:tc>
        <w:tc>
          <w:tcPr>
            <w:tcW w:w="1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North America</w:t>
      </w:r>
    </w:p>
    <w:p>
      <w:pPr>
        <w:pStyle w:val="TextBody"/>
        <w:bidi w:val="0"/>
        <w:spacing w:lineRule="auto" w:line="268" w:before="0" w:after="0"/>
        <w:jc w:val="both"/>
        <w:rPr/>
      </w:pPr>
      <w:r>
        <w:rPr>
          <w:rFonts w:ascii="Times New Roman;serif" w:hAnsi="Times New Roman;serif"/>
          <w:b w:val="false"/>
          <w:color w:val="000000"/>
          <w:sz w:val="20"/>
        </w:rPr>
        <w:t>Sales for Aebi Schmidt’s North America segment increased by $210.1 million, or 143.6%, to $356.3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$146.2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sales was primarily driven by sales attributable to Shyft of $210.9 million and an increase in after sales of $0.2 million, partially offset by a decrease in sales of new products of $1.0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Adjusted EBITDA for Aebi Schmidt’s North America segment increased by $19.5 million, or 121.6%, to $35.5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$16.0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Adjusted EBITDA was primarily driven by the addition of $21.3 million in activity attributable to Shyft, along with an increase in other segment items of $3.1 million, partially offset by a decrease in segment gross margin of $2.0 million and an increase in selling, general and administrative expenses of $2.8 million.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Europe and ROW</w:t>
      </w:r>
    </w:p>
    <w:p>
      <w:pPr>
        <w:pStyle w:val="TextBody"/>
        <w:bidi w:val="0"/>
        <w:spacing w:lineRule="auto" w:line="268" w:before="0" w:after="0"/>
        <w:ind w:left="0" w:right="0" w:firstLine="400"/>
        <w:jc w:val="both"/>
        <w:rPr/>
      </w:pPr>
      <w:r>
        <w:rPr>
          <w:rFonts w:ascii="Times New Roman;serif" w:hAnsi="Times New Roman;serif"/>
          <w:b w:val="false"/>
          <w:color w:val="000000"/>
          <w:sz w:val="20"/>
        </w:rPr>
        <w:t xml:space="preserve">Sales for Aebi Schmidt’s Europe and ROW segment increased by $8.6 million, or 6.6%, to $140.1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$131.5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sales was driven by an increase in sales of new products of $7.1 million and an increase in after sales of $1.5 million.</w:t>
      </w:r>
    </w:p>
    <w:p>
      <w:pPr>
        <w:pStyle w:val="TextBody"/>
        <w:bidi w:val="0"/>
        <w:spacing w:before="0" w:after="0"/>
        <w:ind w:left="0" w:right="0" w:firstLine="400"/>
        <w:jc w:val="both"/>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rPr>
        <w:t>Adjusted EBITDA for Aebi Schmidt’s Europe and ROW segment increased by $1.3 million, or 24.5%, to $6.6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$5.3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Adjusted EBITDA was driven by an increase in gross margin of $2.3 million and a decrease in selling, general and administrative expenses of $1.4 million, partially offset by a decrease in other segment items of $2.4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Six months ended June 30, 2026</w:t>
      </w:r>
      <w:r>
        <w:rPr>
          <w:color w:val="000000"/>
          <w:shd w:fill="FFFFFF" w:val="clear"/>
        </w:rPr>
        <w:t xml:space="preserve"> </w:t>
      </w:r>
      <w:r>
        <w:rPr>
          <w:rFonts w:ascii="Times New Roman;serif" w:hAnsi="Times New Roman;serif"/>
          <w:b/>
          <w:i/>
          <w:color w:val="000000"/>
          <w:sz w:val="20"/>
          <w:shd w:fill="FFFFFF" w:val="clear"/>
        </w:rPr>
        <w:t xml:space="preserve">compared with </w:t>
      </w:r>
      <w:r>
        <w:rPr>
          <w:rFonts w:ascii="Times New Roman;serif" w:hAnsi="Times New Roman;serif"/>
          <w:b/>
          <w:i/>
          <w:color w:val="000000"/>
          <w:sz w:val="20"/>
        </w:rPr>
        <w:t>six months ended June 30, 2025</w:t>
      </w:r>
    </w:p>
    <w:tbl>
      <w:tblPr>
        <w:tblW w:w="7199" w:type="dxa"/>
        <w:jc w:val="left"/>
        <w:tblInd w:w="0" w:type="dxa"/>
        <w:tblLayout w:type="fixed"/>
        <w:tblCellMar>
          <w:top w:w="28" w:type="dxa"/>
          <w:left w:w="28" w:type="dxa"/>
          <w:bottom w:w="28" w:type="dxa"/>
          <w:right w:w="28" w:type="dxa"/>
        </w:tblCellMar>
      </w:tblPr>
      <w:tblGrid>
        <w:gridCol w:w="852"/>
        <w:gridCol w:w="750"/>
        <w:gridCol w:w="752"/>
        <w:gridCol w:w="254"/>
        <w:gridCol w:w="995"/>
        <w:gridCol w:w="131"/>
        <w:gridCol w:w="109"/>
        <w:gridCol w:w="109"/>
        <w:gridCol w:w="109"/>
        <w:gridCol w:w="298"/>
        <w:gridCol w:w="1168"/>
        <w:gridCol w:w="154"/>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Europe and 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693,585 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258,368 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61,865 </w:t>
            </w:r>
          </w:p>
        </w:tc>
        <w:tc>
          <w:tcPr>
            <w:tcW w:w="1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99" w:type="dxa"/>
        <w:jc w:val="left"/>
        <w:tblInd w:w="0" w:type="dxa"/>
        <w:tblLayout w:type="fixed"/>
        <w:tblCellMar>
          <w:top w:w="28" w:type="dxa"/>
          <w:left w:w="28" w:type="dxa"/>
          <w:bottom w:w="28" w:type="dxa"/>
          <w:right w:w="28" w:type="dxa"/>
        </w:tblCellMar>
      </w:tblPr>
      <w:tblGrid>
        <w:gridCol w:w="852"/>
        <w:gridCol w:w="749"/>
        <w:gridCol w:w="753"/>
        <w:gridCol w:w="254"/>
        <w:gridCol w:w="995"/>
        <w:gridCol w:w="131"/>
        <w:gridCol w:w="109"/>
        <w:gridCol w:w="109"/>
        <w:gridCol w:w="109"/>
        <w:gridCol w:w="298"/>
        <w:gridCol w:w="1168"/>
        <w:gridCol w:w="154"/>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North America</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Europe and ROW</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sales</w:t>
            </w:r>
          </w:p>
        </w:tc>
        <w:tc>
          <w:tcPr>
            <w:tcW w:w="25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293,535 </w:t>
            </w:r>
          </w:p>
        </w:tc>
        <w:tc>
          <w:tcPr>
            <w:tcW w:w="13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233,394 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35,060 </w:t>
            </w:r>
          </w:p>
        </w:tc>
        <w:tc>
          <w:tcPr>
            <w:tcW w:w="13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North America</w:t>
      </w:r>
    </w:p>
    <w:p>
      <w:pPr>
        <w:pStyle w:val="TextBody"/>
        <w:bidi w:val="0"/>
        <w:spacing w:lineRule="auto" w:line="268" w:before="0" w:after="0"/>
        <w:ind w:left="0" w:right="0" w:firstLine="400"/>
        <w:jc w:val="both"/>
        <w:rPr/>
      </w:pPr>
      <w:r>
        <w:rPr>
          <w:rFonts w:ascii="Times New Roman;serif" w:hAnsi="Times New Roman;serif"/>
          <w:b w:val="false"/>
          <w:color w:val="000000"/>
          <w:sz w:val="20"/>
        </w:rPr>
        <w:t>Sales for Aebi Schmidt’s North America segment increased by $400.1 million, or 136.3%, to $693.6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$293.5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sales was primarily driven by sales attributable to Shyft of $397.2 million, an increase in sales of new products of $0.7 million and an increase in after sales of $2.1 million.</w:t>
      </w:r>
    </w:p>
    <w:p>
      <w:pPr>
        <w:pStyle w:val="TextBody"/>
        <w:bidi w:val="0"/>
        <w:spacing w:before="0" w:after="0"/>
        <w:ind w:left="0" w:right="0" w:firstLine="400"/>
        <w:jc w:val="both"/>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rPr>
        <w:t>Adjusted EBITDA for Aebi Schmidt’s North America segment increased by $26.8 million, or 76.4%, to $61.9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$35.1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Adjusted EBITDA was primarily driven by the addition of $31.9 million in activity attributable to Shyft, partially offset by a decrease of $0.6 million in gross margin, a decrease of other segment items of $0,6 million, and an increase in selling, general and administrative expenses of $3.9 million.</w:t>
      </w:r>
    </w:p>
    <w:p>
      <w:pPr>
        <w:pStyle w:val="TextBody"/>
        <w:bidi w:val="0"/>
        <w:spacing w:before="0" w:after="0"/>
        <w:ind w:left="0" w:right="0" w:firstLine="40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Europe and ROW</w:t>
      </w:r>
    </w:p>
    <w:p>
      <w:pPr>
        <w:pStyle w:val="TextBody"/>
        <w:bidi w:val="0"/>
        <w:spacing w:lineRule="auto" w:line="268" w:before="0" w:after="0"/>
        <w:ind w:left="0" w:right="0" w:firstLine="400"/>
        <w:jc w:val="both"/>
        <w:rPr/>
      </w:pPr>
      <w:r>
        <w:rPr>
          <w:rFonts w:ascii="Times New Roman;serif" w:hAnsi="Times New Roman;serif"/>
          <w:b w:val="false"/>
          <w:color w:val="000000"/>
          <w:sz w:val="20"/>
        </w:rPr>
        <w:t>Sales for Aebi Schmidt’s Europe and ROW segment increased by $25.0 million, or 10.7%, to $258.4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$233.4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sales was driven by an increase in sales of new products of $15.5 million and an increase in after sales of $9.5 million.</w:t>
      </w:r>
    </w:p>
    <w:p>
      <w:pPr>
        <w:pStyle w:val="TextBody"/>
        <w:bidi w:val="0"/>
        <w:spacing w:before="0" w:after="0"/>
        <w:ind w:left="0" w:right="0" w:firstLine="400"/>
        <w:jc w:val="both"/>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rPr>
        <w:t>Adjusted EBITDA for Aebi Schmidt’s Europe and ROW segment increased by $5.9 million, or 78.7%, to $13.4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from $7.5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in Adjusted EBITDA was primarily driven by an increase in gross margin of $5.5 million and an increase in other segment items of $1.0 million, partially offset by an increase in research and development expense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33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Aebi Schmidt utilizes non-GAAP financial measures, Adjusted EBITDA and Adjusted EBITDA margin, to complement its U.S. GAAP reporting and to assist stakeholders in evaluating and comparing its financial and operational performance over multiple periods, identifying trends affecting its business, formulating business plans, and making strategic decisions. There can be no assurance that Aebi Schmidt will not modify the presentation of its non-GAAP financial measures in the future, and any such modification may be material.</w:t>
      </w:r>
    </w:p>
    <w:p>
      <w:pPr>
        <w:pStyle w:val="TextBody"/>
        <w:bidi w:val="0"/>
        <w:spacing w:before="0" w:after="0"/>
        <w:jc w:val="left"/>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rPr>
        <w:t xml:space="preserve">Aebi Schmidt defines Adjusted EBITDA as net income before interest, taxes, </w:t>
      </w:r>
      <w:r>
        <w:rPr>
          <w:rFonts w:ascii="Times New Roman;serif" w:hAnsi="Times New Roman;serif"/>
          <w:b w:val="false"/>
          <w:color w:val="000000"/>
          <w:sz w:val="20"/>
          <w:shd w:fill="FFFFFF" w:val="clear"/>
        </w:rPr>
        <w:t>depreciation, and amortization, further adjusted for foreign exchange gains and losses on external debt, restructuring and other related expenses, transaction related expenses, integration costs, settlement of acquisition, changes in repurchase liabilities for Aebi Schmidt’s employee share plan, pension related income, legal matters, changes in provisions for contingencies, non-cash stock-based compensation expenses, and other non-operating one-off items.</w:t>
      </w:r>
      <w:r>
        <w:rPr>
          <w:color w:val="000000"/>
        </w:rPr>
        <w:t xml:space="preserve"> </w:t>
      </w:r>
      <w:r>
        <w:rPr>
          <w:rFonts w:ascii="Times New Roman;serif" w:hAnsi="Times New Roman;serif"/>
          <w:b w:val="false"/>
          <w:color w:val="000000"/>
          <w:sz w:val="20"/>
        </w:rPr>
        <w:t>Aebi Schmidt defines Adjusted EBITDA margin as a ratio of Adjusted EBITDA as a percentage of sales. Management uses Adjusted EBITDA to assess Aebi Schmidt’s financial performance because it allows management and stakeholders to compare its operating performance on a consistent basis across periods by removing the effects of its capital structure (such as varying levels of interest expense and income), asset base (such as depreciation and amortization) and other items (such as non-recurring costs) that impact the comparability of financial results from period to period.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evaluating Adjusted EBITDA, you should be aware that in the future Aebi Schmidt may incur expenses that are the same as or similar to some of the adjustments in such presentation. Aebi Schmidt’s presentation of Adjusted EBITDA and Adjusted EBITDA margin should not be construed as an inference that future results will be unaffected by unusual or non-recurring items. Adjusted EBITDA and Adjusted EBITDA margin have important limitations as an analytical tool, and you should not consider these measures in isolation or as a substitute for analysis of Aebi Schmidt’s operating results as reported under U.S. GAAP. Adjusted EBITDA and Adjusted EBITDA margin may be defined differently by other companies in its industry and may not be comparable to similarly titled measures of other companies, thereby diminishing their utility.</w:t>
      </w:r>
    </w:p>
    <w:p>
      <w:pPr>
        <w:pStyle w:val="TextBody"/>
        <w:bidi w:val="0"/>
        <w:spacing w:before="0" w:after="0"/>
        <w:jc w:val="left"/>
        <w:rPr/>
      </w:pPr>
      <w:r>
        <w:rPr/>
      </w:r>
    </w:p>
    <w:tbl>
      <w:tblPr>
        <w:tblW w:w="7203" w:type="dxa"/>
        <w:jc w:val="left"/>
        <w:tblInd w:w="0" w:type="dxa"/>
        <w:tblLayout w:type="fixed"/>
        <w:tblCellMar>
          <w:top w:w="28" w:type="dxa"/>
          <w:left w:w="28" w:type="dxa"/>
          <w:bottom w:w="28" w:type="dxa"/>
          <w:right w:w="28" w:type="dxa"/>
        </w:tblCellMar>
      </w:tblPr>
      <w:tblGrid>
        <w:gridCol w:w="1482"/>
        <w:gridCol w:w="1305"/>
        <w:gridCol w:w="1308"/>
        <w:gridCol w:w="211"/>
        <w:gridCol w:w="826"/>
        <w:gridCol w:w="301"/>
        <w:gridCol w:w="109"/>
        <w:gridCol w:w="109"/>
        <w:gridCol w:w="109"/>
        <w:gridCol w:w="211"/>
        <w:gridCol w:w="826"/>
        <w:gridCol w:w="406"/>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33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11,145</w:t>
            </w:r>
            <w:r>
              <w:rPr>
                <w:color w:val="000000"/>
              </w:rPr>
              <w:t> </w:t>
            </w:r>
          </w:p>
        </w:tc>
        <w:tc>
          <w:tcPr>
            <w:tcW w:w="30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40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 losses on external 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expenses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related income,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Legacy legal matters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provision for contingencies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one-off items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75,230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42,570</w:t>
            </w:r>
            <w:r>
              <w:rPr>
                <w:color w:val="000000"/>
              </w:rPr>
              <w:t> </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951,953 </w:t>
            </w:r>
          </w:p>
        </w:tc>
        <w:tc>
          <w:tcPr>
            <w:tcW w:w="30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526,929 </w:t>
            </w:r>
          </w:p>
        </w:tc>
        <w:tc>
          <w:tcPr>
            <w:tcW w:w="406"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30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34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68" w:before="0" w:after="0"/>
        <w:jc w:val="both"/>
        <w:rPr/>
      </w:pPr>
      <w:r>
        <w:rPr>
          <w:rFonts w:ascii="Times New Roman;serif" w:hAnsi="Times New Roman;serif"/>
          <w:b w:val="false"/>
          <w:color w:val="000000"/>
          <w:sz w:val="20"/>
        </w:rPr>
        <w:t>Aebi Schmidt’s primary liquidity needs are to fund general business requirements, including working capital, capital expenditures, restructuring costs and debt service requirements. Aebi Schmidt’s principal sources of liquidity are cash flows from operating activities, its revolving credit facility (the “Revolving Credit Facility”) and other debt issuances, and existing cash balances of $109.7 million as of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Aebi Schmidt actively manages its working capital and associated cash requirements and continually seeks more effective uses of cash.</w:t>
      </w:r>
    </w:p>
    <w:p>
      <w:pPr>
        <w:pStyle w:val="TextBody"/>
        <w:bidi w:val="0"/>
        <w:spacing w:before="0" w:after="0"/>
        <w:jc w:val="left"/>
        <w:rPr/>
      </w:pPr>
      <w:r>
        <w:rPr/>
      </w:r>
    </w:p>
    <w:p>
      <w:pPr>
        <w:pStyle w:val="TextBody"/>
        <w:bidi w:val="0"/>
        <w:spacing w:lineRule="auto" w:line="268" w:before="0" w:after="0"/>
        <w:ind w:left="0" w:right="0" w:firstLine="40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Aebi Schmidt had $444.4 million of net working capital (i.e., current assets minus current liabilities) compared to $416.5 million of net working capital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Aebi Schmidt believes that its available liquidity will be sufficient to meet its current obligations for a period of at least 12 months from the date of the filing of this Quarterly Report and foreseeable future thereafter, and its liquidity will be sufficient to finance its operating and capital needs, including day to day operations, capital expenditures, research and development, investments in information technology systems, dividends and potential future acquisitions.</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0" w:after="24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Aebi Schmidt’s cash flows from operating, investing and financing activities, as reflected in the Aebi Schmidt Condensed Consolidated Statements of Cash Flows are summarized in the following table:</w:t>
      </w:r>
    </w:p>
    <w:tbl>
      <w:tblPr>
        <w:tblW w:w="10205" w:type="dxa"/>
        <w:jc w:val="left"/>
        <w:tblInd w:w="0" w:type="dxa"/>
        <w:tblLayout w:type="fixed"/>
        <w:tblCellMar>
          <w:top w:w="28" w:type="dxa"/>
          <w:left w:w="28" w:type="dxa"/>
          <w:bottom w:w="28" w:type="dxa"/>
          <w:right w:w="28" w:type="dxa"/>
        </w:tblCellMar>
      </w:tblPr>
      <w:tblGrid>
        <w:gridCol w:w="1805"/>
        <w:gridCol w:w="1585"/>
        <w:gridCol w:w="1588"/>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40"/>
        <w:gridCol w:w="241"/>
        <w:gridCol w:w="492"/>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9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49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52"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(10,632)</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(21,216)</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92"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9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the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109,734</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63,579</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46,155</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49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used in operating activities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cash used in operating activities decreased by $10.6 million, or 50%, to $10.6 million 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from cash used in operating activities of $21.2 million 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in net cash used in operating activities was primarily driven by an increase of $29.0 million related to net income adjusted for non-cash charges, a favorable change in accounts receivable and contract assets of $23.2 million, a favorable change in inventory of $2.0 million, and a favorable change in contract liabilities of $11.2 million. These favorable changes were primarily offset by an unfavorable change in accounts payable of $53.4 million due to increased purchases of raw materials, and an unfavorable change in remaining balance sheet items of $1.5 million.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used in investing activities</w:t>
      </w:r>
    </w:p>
    <w:p>
      <w:pPr>
        <w:pStyle w:val="TextBody"/>
        <w:bidi w:val="0"/>
        <w:spacing w:lineRule="auto" w:line="268" w:before="0" w:after="0"/>
        <w:ind w:left="0" w:right="0" w:firstLine="400"/>
        <w:jc w:val="both"/>
        <w:rPr/>
      </w:pPr>
      <w:r>
        <w:rPr>
          <w:rFonts w:ascii="Times New Roman;serif" w:hAnsi="Times New Roman;serif"/>
          <w:b w:val="false"/>
          <w:color w:val="000000"/>
          <w:sz w:val="20"/>
          <w:shd w:fill="FFFFFF" w:val="clear"/>
        </w:rPr>
        <w:t xml:space="preserve">Net cash used in investing activities decreased by $1.1 million, or 23%, to $3.5 million 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from cash used in investing activities of $4.5 million 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was primarily driven by a decrease in cash spent on purchases of property, plant and equipment of $0.6 million and increase in proceeds from sale of property, plant and equipment of $0.4 million.</w:t>
      </w:r>
    </w:p>
    <w:p>
      <w:pPr>
        <w:pStyle w:val="TextBody"/>
        <w:bidi w:val="0"/>
        <w:spacing w:before="0" w:after="0"/>
        <w:ind w:left="0" w:right="0" w:firstLine="400"/>
        <w:jc w:val="both"/>
        <w:rPr/>
      </w:pPr>
      <w:r>
        <w:rPr/>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provided by financing activities</w:t>
      </w:r>
    </w:p>
    <w:p>
      <w:pPr>
        <w:pStyle w:val="TextBody"/>
        <w:bidi w:val="0"/>
        <w:spacing w:lineRule="auto" w:line="268" w:before="0" w:after="0"/>
        <w:ind w:left="0" w:right="0" w:firstLine="400"/>
        <w:jc w:val="both"/>
        <w:rPr/>
      </w:pPr>
      <w:r>
        <w:rPr>
          <w:rFonts w:ascii="Times New Roman;serif" w:hAnsi="Times New Roman;serif"/>
          <w:b w:val="false"/>
          <w:color w:val="000000"/>
          <w:sz w:val="20"/>
          <w:shd w:fill="FFFFFF" w:val="clear"/>
        </w:rPr>
        <w:t xml:space="preserve">Net cash provided by financing activities increased by $3.8 million to $25.4 million 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from net cash provided by $21.6 million 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primarily driven by higher borrowings of $4.4 million, lower dividend payments of $5.6 million, and lower deferred payments related to historical transactions of $4.8 million. The increase was partially offset by higher payments on debt of $9.5 million and higher payments related to exercising and vesting of stock incentive awards of $1.2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35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before="0" w:after="0"/>
        <w:ind w:left="0" w:right="0" w:firstLine="40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Debt</w:t>
      </w:r>
    </w:p>
    <w:tbl>
      <w:tblPr>
        <w:tblW w:w="6566" w:type="dxa"/>
        <w:jc w:val="left"/>
        <w:tblInd w:w="0" w:type="dxa"/>
        <w:tblLayout w:type="fixed"/>
        <w:tblCellMar>
          <w:top w:w="28" w:type="dxa"/>
          <w:left w:w="28" w:type="dxa"/>
          <w:bottom w:w="28" w:type="dxa"/>
          <w:right w:w="28" w:type="dxa"/>
        </w:tblCellMar>
      </w:tblPr>
      <w:tblGrid>
        <w:gridCol w:w="1158"/>
        <w:gridCol w:w="1016"/>
        <w:gridCol w:w="1021"/>
        <w:gridCol w:w="234"/>
        <w:gridCol w:w="919"/>
        <w:gridCol w:w="121"/>
        <w:gridCol w:w="109"/>
        <w:gridCol w:w="109"/>
        <w:gridCol w:w="109"/>
        <w:gridCol w:w="313"/>
        <w:gridCol w:w="1227"/>
        <w:gridCol w:w="230"/>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2030</w:t>
            </w:r>
          </w:p>
        </w:tc>
        <w:tc>
          <w:tcPr>
            <w:tcW w:w="234"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200,154 </w:t>
            </w:r>
          </w:p>
        </w:tc>
        <w:tc>
          <w:tcPr>
            <w:tcW w:w="12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191,819 </w:t>
            </w:r>
          </w:p>
        </w:tc>
        <w:tc>
          <w:tcPr>
            <w:tcW w:w="230"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 A, due 2030</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loan</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57,592 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59,101 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53"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617,679 </w:t>
            </w:r>
          </w:p>
        </w:tc>
        <w:tc>
          <w:tcPr>
            <w:tcW w:w="121"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594,958 </w:t>
            </w:r>
          </w:p>
        </w:tc>
        <w:tc>
          <w:tcPr>
            <w:tcW w:w="230"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4"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551,343 </w:t>
            </w:r>
          </w:p>
        </w:tc>
        <w:tc>
          <w:tcPr>
            <w:tcW w:w="121"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548,050 </w:t>
            </w:r>
          </w:p>
        </w:tc>
        <w:tc>
          <w:tcPr>
            <w:tcW w:w="230" w:type="dxa"/>
            <w:tcBorders>
              <w:top w:val="single" w:sz="12"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Term loan, Facility A, due 2030</w:t>
      </w:r>
    </w:p>
    <w:p>
      <w:pPr>
        <w:pStyle w:val="TextBody"/>
        <w:bidi w:val="0"/>
        <w:spacing w:lineRule="auto" w:line="288" w:before="0" w:after="0"/>
        <w:jc w:val="both"/>
        <w:rPr/>
      </w:pPr>
      <w:r>
        <w:rPr>
          <w:rFonts w:ascii="Times New Roman;serif" w:hAnsi="Times New Roman;serif"/>
          <w:b w:val="false"/>
          <w:color w:val="000000"/>
          <w:sz w:val="20"/>
        </w:rPr>
        <w:t>Facility A is a multicurrency senior secured amortizing term loan facility with a total commitment amount of $350.0 million. The interest rate is variable defined based on the applicable reference rate (SOFR, SARON, EURIBOR), plus a margin determined by the Company’s leverage ratio. The average interest rate for the three months ended June 30, 2026 was 5.987%</w:t>
      </w:r>
      <w:r>
        <w:rPr>
          <w:rFonts w:ascii="Arial;sans-serif" w:hAnsi="Arial;sans-serif"/>
          <w:b w:val="false"/>
          <w:color w:val="000000"/>
          <w:sz w:val="24"/>
        </w:rPr>
        <w:t xml:space="preserve">. </w:t>
      </w:r>
      <w:r>
        <w:rPr>
          <w:rFonts w:ascii="Times New Roman;serif" w:hAnsi="Times New Roman;serif"/>
          <w:b w:val="false"/>
          <w:color w:val="000000"/>
          <w:sz w:val="20"/>
        </w:rPr>
        <w:t>As of June 30, 2026, debt issuance costs of $4.3 million are deferred and amortized based on the effective interest method.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 is subject to certain customary covenants that prohibit the Company from incurring additional indebtedness, limit certain acquisitions, investments, advances or loans and restrict substantial asset sales (all subject to certain exceptions and baskets). In addition, the credit facilities agreement governing Facility A (the </w:t>
      </w:r>
      <w:r>
        <w:rPr>
          <w:color w:val="000000"/>
          <w:shd w:fill="FFFFFF" w:val="clear"/>
        </w:rPr>
        <w:t>“</w:t>
      </w:r>
      <w:r>
        <w:rPr>
          <w:rFonts w:ascii="Times New Roman;serif" w:hAnsi="Times New Roman;serif"/>
          <w:b w:val="false"/>
          <w:color w:val="000000"/>
          <w:sz w:val="20"/>
        </w:rPr>
        <w:t>New Credit Facilities Agreement</w:t>
      </w:r>
      <w:r>
        <w:rPr>
          <w:color w:val="000000"/>
          <w:shd w:fill="FFFFFF" w:val="clear"/>
        </w:rPr>
        <w:t>”</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also requires the Company to maintain certain financial ratios. For the current reporting period, the Company was required to maintain a leverage ratio that did not exceed 3.75x. The Company was in compliance with all covenants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Revolving Credit Facility, due 2030</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Revolving Facility is a multicurrency senior secured revolving loan facility</w:t>
      </w:r>
      <w:r>
        <w:rPr>
          <w:color w:val="000000"/>
          <w:shd w:fill="FFFFFF" w:val="clear"/>
        </w:rPr>
        <w:t xml:space="preserve"> </w:t>
      </w:r>
      <w:r>
        <w:rPr>
          <w:rFonts w:ascii="Times New Roman;serif" w:hAnsi="Times New Roman;serif"/>
          <w:b w:val="false"/>
          <w:color w:val="000000"/>
          <w:sz w:val="20"/>
        </w:rPr>
        <w:t>with a total commitment amount of up to $250.0 million. The interest rate is variable and based on the applicable reference rate (SOFR, SARON, EURIBOR), plus a margin determined by the Company’s leverage ratio. The average interest rate for the three months ended June 30, 2026 was 5.829%. As of June 30, 2026, debt issuance costs of $3.0 million are deferred and amortized based on a straight-line basis over the term of the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certain customary covenants that prohibit the Company from incurring additional indebtedness, limit certain acquisitions, investments, advances or loans and restrict substantial asset sales (all subject to certain exceptions and baskets). In addition, the New Credit Facilities Agreement also requires the Company to maintain certain financial ratios. For the current reporting period, the Company was required to maintain a leverage ratio that did not exceed 3.75x. The Company was in compliance with all covenants as of June 30, 2026 and December 31, 2025.</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Shareholder loans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were subordinated shareholder loans totaling </w:t>
      </w:r>
      <w:r>
        <w:rPr>
          <w:rFonts w:ascii="Times New Roman;serif" w:hAnsi="Times New Roman;serif"/>
          <w:b w:val="false"/>
          <w:color w:val="000000"/>
          <w:sz w:val="20"/>
        </w:rPr>
        <w:t>CHF13.6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$16.8 million,</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EUR15.0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$17.1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$17.6 million)</w:t>
      </w:r>
      <w:r>
        <w:rPr>
          <w:color w:val="000000"/>
          <w:shd w:fill="FFFFFF" w:val="clear"/>
        </w:rPr>
        <w:t xml:space="preserve"> </w:t>
      </w:r>
      <w:r>
        <w:rPr>
          <w:rFonts w:ascii="Times New Roman;serif" w:hAnsi="Times New Roman;serif"/>
          <w:b w:val="false"/>
          <w:color w:val="000000"/>
          <w:sz w:val="20"/>
          <w:shd w:fill="FFFFFF" w:val="clear"/>
        </w:rPr>
        <w:t xml:space="preserve">from PCS Holding AG, as well as </w:t>
      </w:r>
      <w:r>
        <w:rPr>
          <w:rFonts w:ascii="Times New Roman;serif" w:hAnsi="Times New Roman;serif"/>
          <w:b w:val="false"/>
          <w:color w:val="000000"/>
          <w:sz w:val="20"/>
        </w:rPr>
        <w:t>CHF10.0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$12.4 million,</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$12.6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EUR10.0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$11.4 million,</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$11.8 million)</w:t>
      </w:r>
      <w:r>
        <w:rPr>
          <w:color w:val="000000"/>
          <w:shd w:fill="FFFFFF" w:val="clear"/>
        </w:rPr>
        <w:t xml:space="preserve"> </w:t>
      </w:r>
      <w:r>
        <w:rPr>
          <w:rFonts w:ascii="Times New Roman;serif" w:hAnsi="Times New Roman;serif"/>
          <w:b w:val="false"/>
          <w:color w:val="000000"/>
          <w:sz w:val="20"/>
          <w:shd w:fill="FFFFFF" w:val="clear"/>
        </w:rPr>
        <w:t xml:space="preserve">from Gebuka AG.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loans are originally granted for a fixed term, but the term will be extended if the loan agreement is not terminated </w:t>
      </w:r>
      <w:r>
        <w:rPr>
          <w:rFonts w:ascii="Times New Roman;serif" w:hAnsi="Times New Roman;serif"/>
          <w:b w:val="false"/>
          <w:color w:val="000000"/>
          <w:sz w:val="20"/>
        </w:rPr>
        <w:t>90 days</w:t>
      </w:r>
      <w:r>
        <w:rPr>
          <w:color w:val="000000"/>
          <w:shd w:fill="FFFFFF" w:val="clear"/>
        </w:rPr>
        <w:t xml:space="preserve"> </w:t>
      </w:r>
      <w:r>
        <w:rPr>
          <w:rFonts w:ascii="Times New Roman;serif" w:hAnsi="Times New Roman;serif"/>
          <w:b w:val="false"/>
          <w:color w:val="000000"/>
          <w:sz w:val="20"/>
          <w:shd w:fill="FFFFFF" w:val="clear"/>
        </w:rPr>
        <w:t xml:space="preserve">prior to the end date or if an extension agreement is signed. The change in the loan balance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is solely due to foreign exchange rate fluctuations. These shareholder loans were renewed and amended in connection with the New Credit Facilities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36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entered into an uncommitted revolving credit facility with a maximum availability of $20.0 million and a maturity date of February 9, 2027. The facility bears interest at variable rates based on applicable reference rates (e.g., SOFR, SARON or EURIBOR) plus a margin. The average interest rate for the three months ended June 30, 2026 was 5.896%. The agreement includes customary terms and conditions, including representations and warranties, events of default and covenants typical for facilities of this nature. The lender may cancel the facility any time on short notice. As of June 30, 2026, there was $20.0 million outstanding under the facility. This debt is included in “Other debt” in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Contingent Liabilities</w:t>
      </w:r>
    </w:p>
    <w:p>
      <w:pPr>
        <w:pStyle w:val="TextBody"/>
        <w:bidi w:val="0"/>
        <w:spacing w:before="0" w:after="0"/>
        <w:jc w:val="left"/>
        <w:rPr/>
      </w:pPr>
      <w:r>
        <w:rPr/>
      </w:r>
    </w:p>
    <w:p>
      <w:pPr>
        <w:pStyle w:val="TextBody"/>
        <w:bidi w:val="0"/>
        <w:spacing w:lineRule="auto" w:line="288" w:before="0" w:after="240"/>
        <w:ind w:left="0" w:right="0" w:firstLine="400"/>
        <w:jc w:val="both"/>
        <w:rPr/>
      </w:pPr>
      <w:r>
        <w:rPr>
          <w:rFonts w:ascii="Times New Roman;serif" w:hAnsi="Times New Roman;serif"/>
          <w:b w:val="false"/>
          <w:color w:val="000000"/>
          <w:sz w:val="20"/>
          <w:shd w:fill="FFFFFF" w:val="clear"/>
        </w:rPr>
        <w:t xml:space="preserve">Changes in Aebi Schmidt’s warranty liability during the periods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were as follows:</w:t>
      </w:r>
    </w:p>
    <w:tbl>
      <w:tblPr>
        <w:tblW w:w="6639" w:type="dxa"/>
        <w:jc w:val="left"/>
        <w:tblInd w:w="0" w:type="dxa"/>
        <w:tblLayout w:type="fixed"/>
        <w:tblCellMar>
          <w:top w:w="28" w:type="dxa"/>
          <w:left w:w="28" w:type="dxa"/>
          <w:bottom w:w="28" w:type="dxa"/>
          <w:right w:w="28" w:type="dxa"/>
        </w:tblCellMar>
      </w:tblPr>
      <w:tblGrid>
        <w:gridCol w:w="1504"/>
        <w:gridCol w:w="1324"/>
        <w:gridCol w:w="1327"/>
        <w:gridCol w:w="211"/>
        <w:gridCol w:w="736"/>
        <w:gridCol w:w="109"/>
        <w:gridCol w:w="109"/>
        <w:gridCol w:w="109"/>
        <w:gridCol w:w="109"/>
        <w:gridCol w:w="211"/>
        <w:gridCol w:w="73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warranty liability, beginning of period</w:t>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12"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10,206 </w:t>
            </w:r>
          </w:p>
        </w:tc>
        <w:tc>
          <w:tcPr>
            <w:tcW w:w="154" w:type="dxa"/>
            <w:tcBorders>
              <w:top w:val="single" w:sz="1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current period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liability for pre-existing warranties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of warranty liability, end of period</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18,881</w:t>
            </w:r>
            <w:r>
              <w:rPr>
                <w:color w:val="000000"/>
              </w:rPr>
              <w:t>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12,976</w:t>
            </w:r>
            <w:r>
              <w:rPr>
                <w:color w:val="000000"/>
              </w:rPr>
              <w:t>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00"/>
        <w:jc w:val="both"/>
        <w:rPr/>
      </w:pPr>
      <w:r>
        <w:rPr>
          <w:rFonts w:ascii="Times New Roman;serif" w:hAnsi="Times New Roman;serif"/>
          <w:b w:val="false"/>
          <w:color w:val="000000"/>
          <w:sz w:val="20"/>
        </w:rPr>
        <w:t>Aebi Schmidt’s long-term warranty provisions amounting to $2.6 million and $2.0 million at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respectively, are included within other non-current liabilities on its Condensed Consolidated Balance Sheet.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Contractual and Other Obligations</w:t>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Aebi Schmidt is party to contractual and other material obligations (including any material cash obligations) involving commitments to make payments to third parties, and such commitments require a material amount of cash. As part of its normal course of business, Aebi Schmidt enters into contracts with suppliers for purchases of certain raw materials, components, and services to facilitate adequate supply of these materials and services. These arrangements may contain fixed or minimum quantity purchase requirements.</w:t>
      </w:r>
    </w:p>
    <w:p>
      <w:pPr>
        <w:pStyle w:val="TextBody"/>
        <w:bidi w:val="0"/>
        <w:spacing w:before="0" w:after="0"/>
        <w:jc w:val="left"/>
        <w:rPr/>
      </w:pPr>
      <w:r>
        <w:rPr/>
      </w:r>
    </w:p>
    <w:p>
      <w:pPr>
        <w:pStyle w:val="TextBody"/>
        <w:bidi w:val="0"/>
        <w:spacing w:lineRule="auto" w:line="26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Refer to Note 7 – Commitments and Contingent Liabilities to Aebi Schmidt’s unaudited condensed consolidated financial statements for details on its cash obligations.</w:t>
      </w:r>
    </w:p>
    <w:p>
      <w:pPr>
        <w:pStyle w:val="TextBody"/>
        <w:bidi w:val="0"/>
        <w:spacing w:before="0" w:after="0"/>
        <w:ind w:left="0" w:right="0" w:firstLine="400"/>
        <w:jc w:val="both"/>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Off-Balance Sheet Arrangements</w:t>
      </w:r>
    </w:p>
    <w:p>
      <w:pPr>
        <w:pStyle w:val="TextBody"/>
        <w:bidi w:val="0"/>
        <w:spacing w:lineRule="auto" w:line="268" w:before="0" w:after="0"/>
        <w:ind w:left="0" w:right="0" w:firstLine="400"/>
        <w:jc w:val="both"/>
        <w:rPr/>
      </w:pPr>
      <w:r>
        <w:rPr>
          <w:rFonts w:ascii="Times New Roman;serif" w:hAnsi="Times New Roman;serif"/>
          <w:b w:val="false"/>
          <w:color w:val="000000"/>
          <w:sz w:val="20"/>
          <w:shd w:fill="FFFFFF" w:val="clear"/>
        </w:rPr>
        <w:t xml:space="preserve">The contingent liabilities include guarantees amounting to </w:t>
      </w:r>
      <w:r>
        <w:rPr>
          <w:rFonts w:ascii="Times New Roman;serif" w:hAnsi="Times New Roman;serif"/>
          <w:b w:val="false"/>
          <w:color w:val="000000"/>
          <w:sz w:val="20"/>
        </w:rPr>
        <w:t>$20.3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Through the normal course of bidding for and executing certain projects, Aebi Schmidt has entered into bid/performance bonds and surety bonds (collectively “performance bonds”) with various financial institutions. Customers can draw on such performance bonds if Aebi Schmidt does not fulfill its contractual obligations. If a performance bond is drawn, Aebi Schmidt would have an obligation to reimburse the financial institution for amounts paid. There have been no significant amounts reimbursed to financial institutions under these types of arrangements</w:t>
      </w:r>
      <w:r>
        <w:rPr>
          <w:color w:val="000000"/>
          <w:shd w:fill="FFFFFF" w:val="clear"/>
        </w:rPr>
        <w:t xml:space="preserve">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68" w:before="0" w:after="0"/>
        <w:ind w:left="0" w:right="0" w:firstLine="400"/>
        <w:jc w:val="both"/>
        <w:rPr/>
      </w:pPr>
      <w:r>
        <w:rPr>
          <w:rFonts w:ascii="Times New Roman;serif" w:hAnsi="Times New Roman;serif"/>
          <w:b w:val="false"/>
          <w:color w:val="000000"/>
          <w:sz w:val="20"/>
          <w:shd w:fill="FFFFFF" w:val="clear"/>
        </w:rPr>
        <w:t xml:space="preserve">There have been no changes to our critical accounting policies 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Refer to the Company's Form 10-K for a summary of our policies.</w:t>
      </w:r>
    </w:p>
    <w:p>
      <w:pPr>
        <w:pStyle w:val="TextBody"/>
        <w:bidi w:val="0"/>
        <w:spacing w:before="0" w:after="0"/>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Aebi Schmidt is exposed to market risks in the ordinary course of business, which primarily relate to fluctuations in foreign currency exchange and commodity prices. Since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have been no material changes in our foreign currency exposures, which is incorporated herein by reference, commodity prices, or interest rates. For a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37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both"/>
        <w:rPr/>
      </w:pPr>
      <w:r>
        <w:rPr>
          <w:rFonts w:ascii="Times New Roman;serif" w:hAnsi="Times New Roman;serif"/>
          <w:b w:val="false"/>
          <w:color w:val="000000"/>
          <w:sz w:val="20"/>
          <w:shd w:fill="FFFFFF" w:val="clear"/>
        </w:rPr>
        <w:t>of our exposure to market risk, refer to “</w:t>
      </w:r>
      <w:r>
        <w:rPr>
          <w:rFonts w:ascii="Times New Roman;serif" w:hAnsi="Times New Roman;serif"/>
          <w:b w:val="false"/>
          <w:i/>
          <w:color w:val="000000"/>
          <w:sz w:val="20"/>
          <w:shd w:fill="FFFFFF" w:val="clear"/>
        </w:rPr>
        <w:t>Quantitative and Qualitative Disclosures about Market Risk</w:t>
      </w:r>
      <w:r>
        <w:rPr>
          <w:color w:val="000000"/>
          <w:shd w:fill="FFFFFF" w:val="clear"/>
        </w:rPr>
        <w:t xml:space="preserve">” </w:t>
      </w:r>
      <w:r>
        <w:rPr>
          <w:rFonts w:ascii="Times New Roman;serif" w:hAnsi="Times New Roman;serif"/>
          <w:b w:val="false"/>
          <w:color w:val="000000"/>
          <w:sz w:val="20"/>
          <w:shd w:fill="FFFFFF" w:val="clear"/>
        </w:rPr>
        <w:t>in the Form 10-K,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Evaluation of Disclosure Controls and Procedures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that evaluation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our Chief Executive Officer and Chief Financial Officer concluded that our disclosure controls and procedures were not effective due to the material weaknesses in internal control over financial reporting described below.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Previously Identified Material Weakness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previously disclosed in Aebi Schmidt’s Annual Report on Form 10-K for the year ended December 31, 2025, management identified material weaknesses in internal control over financial reporting. A material weakness is a deficiency, or a combination of deficiencies, in internal control over financial reporting such that there is a reasonable possibility that a material misstatement of Aebi Schmidt’s annual or interim consolidated financial statements will not be prevented or detected on a timely basis.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Aebi Schmidt’s management identified the following material weaknesses in its internal control over financial reporting:</w:t>
      </w:r>
    </w:p>
    <w:p>
      <w:pPr>
        <w:pStyle w:val="TextBody"/>
        <w:bidi w:val="0"/>
        <w:spacing w:lineRule="auto" w:line="288" w:before="0" w:after="240"/>
        <w:ind w:left="0" w:right="0" w:hanging="540"/>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A lack of designing and maintaining an effective control environment commensurate with Aebi Schmidt’s financial reporting requirements due to an insufficient number of professionals with an appropriate level of internal controls and technical U.S. GAAP knowledge, experience, and training to appropriately analyze, record, and disclose accounting matters, including complex, non-routine transactions accurately and timely.</w:t>
      </w:r>
    </w:p>
    <w:p>
      <w:pPr>
        <w:pStyle w:val="TextBody"/>
        <w:bidi w:val="0"/>
        <w:spacing w:lineRule="auto" w:line="288" w:before="0" w:after="240"/>
        <w:ind w:left="0" w:right="0" w:hanging="540"/>
        <w:jc w:val="both"/>
        <w:rPr/>
      </w:pPr>
      <w:r>
        <w:rPr>
          <w:rFonts w:ascii="Times New Roman;serif" w:hAnsi="Times New Roman;serif"/>
          <w:b w:val="false"/>
          <w:color w:val="000000"/>
          <w:sz w:val="20"/>
        </w:rPr>
        <w:t>ii.</w:t>
      </w:r>
      <w:r>
        <w:rPr>
          <w:rFonts w:ascii="Times New Roman;serif" w:hAnsi="Times New Roman;serif"/>
          <w:b w:val="false"/>
          <w:color w:val="000000"/>
          <w:sz w:val="20"/>
          <w:shd w:fill="FFFFFF" w:val="clear"/>
        </w:rPr>
        <w:t>A lack of maintaining formal accounting policies and procedures and designing and maintaining controls related to significant accounts and disclosures to achieve complete, accurate, and timely financial accounting, reporting, and disclosures.</w:t>
      </w:r>
    </w:p>
    <w:p>
      <w:pPr>
        <w:pStyle w:val="TextBody"/>
        <w:bidi w:val="0"/>
        <w:spacing w:lineRule="auto" w:line="288" w:before="0" w:after="240"/>
        <w:ind w:left="0" w:right="0" w:hanging="540"/>
        <w:jc w:val="both"/>
        <w:rPr/>
      </w:pPr>
      <w:r>
        <w:rPr>
          <w:rFonts w:ascii="Times New Roman;serif" w:hAnsi="Times New Roman;serif"/>
          <w:b w:val="false"/>
          <w:color w:val="000000"/>
          <w:sz w:val="20"/>
        </w:rPr>
        <w:t>iii.</w:t>
      </w:r>
      <w:r>
        <w:rPr>
          <w:rFonts w:ascii="Times New Roman;serif" w:hAnsi="Times New Roman;serif"/>
          <w:b w:val="false"/>
          <w:color w:val="000000"/>
          <w:sz w:val="20"/>
          <w:shd w:fill="FFFFFF" w:val="clear"/>
        </w:rPr>
        <w:t>A lack of consistently establishing appropriate authorities and responsibilities related to the segregation of duties in Aebi Schmidt's finance and accounting functions.</w:t>
      </w:r>
    </w:p>
    <w:p>
      <w:pPr>
        <w:pStyle w:val="TextBody"/>
        <w:bidi w:val="0"/>
        <w:spacing w:lineRule="auto" w:line="288" w:before="0" w:after="240"/>
        <w:ind w:left="0" w:right="0" w:hanging="540"/>
        <w:jc w:val="both"/>
        <w:rPr/>
      </w:pPr>
      <w:r>
        <w:rPr>
          <w:rFonts w:ascii="Times New Roman;serif" w:hAnsi="Times New Roman;serif"/>
          <w:b w:val="false"/>
          <w:color w:val="000000"/>
          <w:sz w:val="20"/>
        </w:rPr>
        <w:t>iv.</w:t>
      </w:r>
      <w:r>
        <w:rPr>
          <w:rFonts w:ascii="Times New Roman;serif" w:hAnsi="Times New Roman;serif"/>
          <w:b w:val="false"/>
          <w:color w:val="000000"/>
          <w:sz w:val="20"/>
          <w:shd w:fill="FFFFFF" w:val="clear"/>
        </w:rPr>
        <w:t>A failure to design and maintain effective information technology (“IT”) general controls over user access, change management, and segregation of duties for SAP information systems in Europe that are relevant to the preparation of its financial statements.</w:t>
      </w:r>
    </w:p>
    <w:p>
      <w:pPr>
        <w:pStyle w:val="TextBody"/>
        <w:bidi w:val="0"/>
        <w:spacing w:lineRule="auto" w:line="288" w:before="0" w:after="240"/>
        <w:ind w:left="0" w:right="0" w:hanging="540"/>
        <w:jc w:val="both"/>
        <w:rPr/>
      </w:pPr>
      <w:r>
        <w:rPr>
          <w:rFonts w:ascii="Times New Roman;serif" w:hAnsi="Times New Roman;serif"/>
          <w:b w:val="false"/>
          <w:color w:val="000000"/>
          <w:sz w:val="20"/>
        </w:rPr>
        <w:t>v.</w:t>
      </w:r>
      <w:r>
        <w:rPr>
          <w:rFonts w:ascii="Times New Roman;serif" w:hAnsi="Times New Roman;serif"/>
          <w:b w:val="false"/>
          <w:color w:val="000000"/>
          <w:sz w:val="20"/>
          <w:shd w:fill="FFFFFF" w:val="clear"/>
        </w:rPr>
        <w:t>A failure to design and maintain effective IT general controls over user access, change management, and segregation of duties for the remaining information systems that are relevant to the preparation of its financial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above control deficiencies did not result in a material misstatement to the financial statements. However, the IT general control deficiencies could affect the maintenance of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which could result in misstatements that potentially impact all financial statement accounts and disclosures that would not be prevented or detected.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Remediation Plan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Aebi Schmidt’s management has a remediation plan to remediate the material weaknesses and will continue to evaluate the effectiveness of these remediation efforts.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remediation plan includes the following 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38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a.Enhancing the Company’s accounting and finance organization by hiring additional personnel with appropriate U.S. GAAP technical accounting and SEC financial reporting requirements expertise.</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b.Providing targeted training to existing personnel on U.S. GAAP technical accounting, internal control over financial reporting, and SEC financial reporting requirements.</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c.Designing and implementing a formal financial reporting control framework, including strengthening management review controls and documentation standards.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d.Designing and implementing IT general and application controls for all systems that materially impact financial reporting, including user access, change management, and segregation of duties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will continue to evaluate the effectiveness of these remediation efforts and will not consider the material weaknesses remediated until applicable controls are operational for a sufficient period, and management concludes through testing that these controls are operating effectively.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Changes in Internal Control over Financial Reporting</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There have been no changes in our internal control over financial reporting (as such term is defined in Rules 13a-15(f) and 15d-15(f) under the Exchange Act) that occurred during the fiscal quarter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that has materially affected, or is reasonably likely to materially affect, our internal control over financial reporting.</w:t>
      </w:r>
    </w:p>
    <w:p>
      <w:pPr>
        <w:pStyle w:val="TextBody"/>
        <w:bidi w:val="0"/>
        <w:spacing w:lineRule="auto" w:line="288"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Inherent Limitations on Effectiveness of Controls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39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13">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date of this Quarterly Report, Aebi Schmidt is party, both as plaintiff or defendant, to a number of lawsuits and claims arising out of the normal conduct of its businesses. Aebi Schmidt’s management does not currently expect its financial position, future operating results or cash flows to be materially affected by the final outcome of these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included in Part I, Item 1A of the Form 10-K for the year ended December 31, 2025, a description of certain risks and uncertainties that could affect our business, future performance or financial condition (the “Risk Factors”). There have been no material changes from the disclosure provided in the Form 10-K for the year ended December 31, 2025 with respect to the Risk Factors. Investors should consider the Risk Factors prior to making an investment decision with respect to our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did not make any unregistered sales of equity securities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Rule 10b5-1</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director or officer (as defined in Rule 16a-1(f) under the Exchange Act) of the Company adopted, modified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40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7">
        <w:r>
          <w:rPr>
            <w:rStyle w:val="InternetLink"/>
            <w:rFonts w:ascii="Times New Roman;serif" w:hAnsi="Times New Roman;serif"/>
            <w:b w:val="false"/>
            <w:i/>
            <w:color w:val="0000FF"/>
            <w:sz w:val="16"/>
            <w:shd w:fill="FFFFFF" w:val="clear"/>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hanging="540"/>
        <w:jc w:val="both"/>
        <w:rPr/>
      </w:pPr>
      <w:r>
        <w:rPr>
          <w:rFonts w:ascii="Times New Roman;serif" w:hAnsi="Times New Roman;serif"/>
          <w:b w:val="false"/>
          <w:color w:val="000000"/>
          <w:sz w:val="20"/>
        </w:rPr>
        <w:t>(a)</w:t>
      </w:r>
      <w:r>
        <w:rPr>
          <w:rFonts w:ascii="Times New Roman;serif" w:hAnsi="Times New Roman;serif"/>
          <w:b w:val="false"/>
          <w:color w:val="000000"/>
          <w:sz w:val="20"/>
          <w:u w:val="single"/>
          <w:shd w:fill="FFFFFF" w:val="clear"/>
        </w:rPr>
        <w:t>Exhibits</w:t>
      </w:r>
      <w:r>
        <w:rPr>
          <w:rFonts w:ascii="Times New Roman;serif" w:hAnsi="Times New Roman;serif"/>
          <w:b w:val="false"/>
          <w:color w:val="000000"/>
          <w:sz w:val="20"/>
          <w:shd w:fill="FFFFFF" w:val="clear"/>
        </w:rPr>
        <w:t>. The following exhibits are filed as a part of this Quarterly Report on Form 10-Q:</w:t>
      </w:r>
    </w:p>
    <w:tbl>
      <w:tblPr>
        <w:tblW w:w="10205" w:type="dxa"/>
        <w:jc w:val="left"/>
        <w:tblInd w:w="0" w:type="dxa"/>
        <w:tblLayout w:type="fixed"/>
        <w:tblCellMar>
          <w:top w:w="28" w:type="dxa"/>
          <w:left w:w="28" w:type="dxa"/>
          <w:bottom w:w="28" w:type="dxa"/>
          <w:right w:w="28" w:type="dxa"/>
        </w:tblCellMar>
      </w:tblPr>
      <w:tblGrid>
        <w:gridCol w:w="319"/>
        <w:gridCol w:w="280"/>
        <w:gridCol w:w="283"/>
        <w:gridCol w:w="2822"/>
        <w:gridCol w:w="2673"/>
        <w:gridCol w:w="3828"/>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r:id="rId2">
              <w:r>
                <w:rPr>
                  <w:rStyle w:val="InternetLink"/>
                  <w:rFonts w:ascii="Times New Roman;serif" w:hAnsi="Times New Roman;serif"/>
                  <w:b w:val="false"/>
                  <w:color w:val="0000FF"/>
                  <w:sz w:val="20"/>
                  <w:u w:val="single"/>
                </w:rPr>
                <w:t>3.1</w:t>
              </w:r>
            </w:hyperlink>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both"/>
              <w:rPr/>
            </w:pPr>
            <w:hyperlink r:id="rId3">
              <w:r>
                <w:rPr>
                  <w:rStyle w:val="InternetLink"/>
                  <w:rFonts w:ascii="Times New Roman;serif" w:hAnsi="Times New Roman;serif"/>
                  <w:b w:val="false"/>
                  <w:color w:val="0000FF"/>
                  <w:sz w:val="20"/>
                  <w:u w:val="single"/>
                </w:rPr>
                <w:t>Aebi Schmidt's Articles of Association, incorporated by reference from Aebi Schmidt's Current Report on Form 8-K filed May 21, 2026</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r:id="rId4">
              <w:r>
                <w:rPr>
                  <w:rStyle w:val="InternetLink"/>
                  <w:rFonts w:ascii="Times New Roman;serif" w:hAnsi="Times New Roman;serif"/>
                  <w:b w:val="false"/>
                  <w:color w:val="0000FF"/>
                  <w:sz w:val="20"/>
                  <w:u w:val="single"/>
                </w:rPr>
                <w:t>10.1</w:t>
              </w:r>
            </w:hyperlink>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both"/>
              <w:rPr/>
            </w:pPr>
            <w:hyperlink r:id="rId5">
              <w:r>
                <w:rPr>
                  <w:rStyle w:val="InternetLink"/>
                  <w:rFonts w:ascii="Times New Roman;serif" w:hAnsi="Times New Roman;serif"/>
                  <w:b w:val="false"/>
                  <w:color w:val="0000FF"/>
                  <w:sz w:val="20"/>
                  <w:u w:val="single"/>
                </w:rPr>
                <w:t>Amendment No. 1 to the Relationship Agreement, by and among Aebi Schmidt, PCS Holding AG and Peter Spuhler, dated April 7, 2026, incorporated by reference from Aebi Schmidt's Current Report on Form 8-K filed April 10, 2026</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r:id="rId6">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both"/>
              <w:rPr/>
            </w:pPr>
            <w:hyperlink r:id="rId7">
              <w:r>
                <w:rPr>
                  <w:rStyle w:val="InternetLink"/>
                  <w:rFonts w:ascii="Times New Roman;serif" w:hAnsi="Times New Roman;serif"/>
                  <w:b w:val="false"/>
                  <w:color w:val="0000FF"/>
                  <w:sz w:val="20"/>
                  <w:u w:val="single"/>
                </w:rPr>
                <w:t>Aebi Schmidt Equity Incentive Plan, incorporated by reference from Aebi Schmidt's Current Report on Form 8-K filed May 21, 2026</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a103formofdirectorrestrict.htm">
              <w:r>
                <w:rPr>
                  <w:rStyle w:val="InternetLink"/>
                  <w:rFonts w:ascii="Times New Roman;serif" w:hAnsi="Times New Roman;serif"/>
                  <w:b w:val="false"/>
                  <w:color w:val="0000FF"/>
                  <w:sz w:val="20"/>
                  <w:u w:val="single"/>
                </w:rPr>
                <w:t>10.3</w:t>
              </w:r>
            </w:hyperlink>
            <w:r>
              <w:rPr>
                <w:rFonts w:ascii="Times New Roman;serif" w:hAnsi="Times New Roman;serif"/>
                <w:b w:val="false"/>
                <w:color w:val="000000"/>
                <w:sz w:val="20"/>
              </w:rPr>
              <w:t>+</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both"/>
              <w:rPr/>
            </w:pPr>
            <w:hyperlink w:anchor="a103formofdirectorrestrict.htm">
              <w:r>
                <w:rPr>
                  <w:rStyle w:val="InternetLink"/>
                  <w:rFonts w:ascii="Times New Roman;serif" w:hAnsi="Times New Roman;serif"/>
                  <w:b w:val="false"/>
                  <w:color w:val="0000FF"/>
                  <w:sz w:val="20"/>
                  <w:u w:val="single"/>
                </w:rPr>
                <w:t>Form of Director Restricted Stock Award Agreement</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a104formofrestrictedstocku.htm">
              <w:r>
                <w:rPr>
                  <w:rStyle w:val="InternetLink"/>
                  <w:rFonts w:ascii="Times New Roman;serif" w:hAnsi="Times New Roman;serif"/>
                  <w:b w:val="false"/>
                  <w:color w:val="0000FF"/>
                  <w:sz w:val="20"/>
                  <w:u w:val="single"/>
                </w:rPr>
                <w:t>10.4</w:t>
              </w:r>
            </w:hyperlink>
            <w:r>
              <w:rPr>
                <w:rFonts w:ascii="Times New Roman;serif" w:hAnsi="Times New Roman;serif"/>
                <w:b w:val="false"/>
                <w:color w:val="000000"/>
                <w:sz w:val="20"/>
              </w:rPr>
              <w:t>+</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both"/>
              <w:rPr/>
            </w:pPr>
            <w:hyperlink w:anchor="a104formofrestrictedstocku.htm">
              <w:r>
                <w:rPr>
                  <w:rStyle w:val="InternetLink"/>
                  <w:rFonts w:ascii="Times New Roman;serif" w:hAnsi="Times New Roman;serif"/>
                  <w:b w:val="false"/>
                  <w:color w:val="0000FF"/>
                  <w:sz w:val="20"/>
                  <w:u w:val="single"/>
                </w:rPr>
                <w:t>Form of Restricted Stock Unit Award Agreement</w:t>
              </w:r>
            </w:hyperlink>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aebi-20260630xex311.htm">
              <w:r>
                <w:rPr>
                  <w:rStyle w:val="InternetLink"/>
                  <w:rFonts w:ascii="Times New Roman;serif" w:hAnsi="Times New Roman;serif"/>
                  <w:b w:val="false"/>
                  <w:color w:val="0000FF"/>
                  <w:sz w:val="20"/>
                  <w:u w:val="single"/>
                </w:rPr>
                <w:t>31.1</w:t>
              </w:r>
            </w:hyperlink>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aebi-20260630xex312.htm">
              <w:r>
                <w:rPr>
                  <w:rStyle w:val="InternetLink"/>
                  <w:rFonts w:ascii="Times New Roman;serif" w:hAnsi="Times New Roman;serif"/>
                  <w:b w:val="false"/>
                  <w:color w:val="0000FF"/>
                  <w:sz w:val="20"/>
                  <w:u w:val="single"/>
                </w:rPr>
                <w:t>31.2</w:t>
              </w:r>
            </w:hyperlink>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hyperlink w:anchor="aebi-20260630xex32.htm">
              <w:r>
                <w:rPr>
                  <w:rStyle w:val="InternetLink"/>
                  <w:rFonts w:ascii="Times New Roman;serif" w:hAnsi="Times New Roman;serif"/>
                  <w:b w:val="false"/>
                  <w:color w:val="0000FF"/>
                  <w:sz w:val="20"/>
                  <w:u w:val="single"/>
                </w:rPr>
                <w:t>32</w:t>
              </w:r>
            </w:hyperlink>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 1350, as adopted pursuant to Section 906 of the Sarbanes-Oxley Act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6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shd w:fill="FFFFFF" w:val="clear"/>
                              </w:rPr>
                              <w:t xml:space="preserve">Page 41 of </w:t>
                            </w:r>
                            <w:hyperlink w:anchor="i481279e2f0034fa1b00d14c97e4f6417_202">
                              <w:r>
                                <w:rPr>
                                  <w:rStyle w:val="InternetLink"/>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shd w:fill="FFFFFF" w:val="clear"/>
                        </w:rPr>
                        <w:t xml:space="preserve">Page 41 of </w:t>
                      </w:r>
                      <w:hyperlink w:anchor="i481279e2f0034fa1b00d14c97e4f6417_202">
                        <w:r>
                          <w:rPr>
                            <w:rStyle w:val="InternetLink"/>
                          </w:rPr>
                          <w:t>43</w:t>
                        </w:r>
                      </w:hyperlink>
                    </w:p>
                  </w:txbxContent>
                </v:textbox>
                <w10:wrap type="none"/>
              </v:rect>
            </w:pict>
          </mc:Fallback>
        </mc:AlternateContent>
      </w:r>
    </w:p>
    <w:p>
      <w:pPr>
        <w:pStyle w:val="TextBody"/>
        <w:bidi w:val="0"/>
        <w:spacing w:lineRule="auto" w:line="276" w:before="0" w:after="0"/>
        <w:jc w:val="left"/>
        <w:rPr/>
      </w:pPr>
      <w:hyperlink w:anchor="ic82f18d41b884c5e85aa6447e1ae98a4_7">
        <w:r>
          <w:rPr>
            <w:rStyle w:val="InternetLink"/>
            <w:rFonts w:ascii="Times New Roman;serif" w:hAnsi="Times New Roman;serif"/>
            <w:b w:val="false"/>
            <w:i/>
            <w:strike w:val="false"/>
            <w:dstrike w:val="false"/>
            <w:color w:val="0000FF"/>
            <w:sz w:val="16"/>
            <w:u w:val="none"/>
            <w:effect w:val="none"/>
            <w:shd w:fill="FFFFFF" w:val="clear"/>
          </w:rPr>
          <w:t>Index</w:t>
        </w:r>
      </w:hyperlink>
    </w:p>
    <w:p>
      <w:pPr>
        <w:pStyle w:val="TextBody"/>
        <w:bidi w:val="0"/>
        <w:spacing w:lineRule="auto" w:line="288" w:before="0" w:after="240"/>
        <w:jc w:val="center"/>
        <w:rPr>
          <w:rFonts w:ascii="Times New Roman;serif" w:hAnsi="Times New Roman;serif"/>
          <w:b/>
          <w:color w:val="000000"/>
          <w:sz w:val="20"/>
          <w:shd w:fill="FFFFFF" w:val="clear"/>
        </w:rPr>
      </w:pPr>
      <w:bookmarkStart w:id="0" w:name="i481279e2f0034fa1b00d14c97e4f6417_202"/>
      <w:bookmarkEnd w:id="0"/>
      <w:r>
        <w:rPr>
          <w:rFonts w:ascii="Times New Roman;serif" w:hAnsi="Times New Roman;serif"/>
          <w:b/>
          <w:color w:val="000000"/>
          <w:sz w:val="20"/>
          <w:shd w:fill="FFFFFF" w:val="clear"/>
        </w:rPr>
        <w:t>SIGNATURES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4781" w:type="dxa"/>
        <w:jc w:val="left"/>
        <w:tblInd w:w="0" w:type="dxa"/>
        <w:tblLayout w:type="fixed"/>
        <w:tblCellMar>
          <w:top w:w="28" w:type="dxa"/>
          <w:left w:w="28" w:type="dxa"/>
          <w:bottom w:w="28" w:type="dxa"/>
          <w:right w:w="28" w:type="dxa"/>
        </w:tblCellMar>
      </w:tblPr>
      <w:tblGrid>
        <w:gridCol w:w="705"/>
        <w:gridCol w:w="621"/>
        <w:gridCol w:w="624"/>
        <w:gridCol w:w="364"/>
        <w:gridCol w:w="364"/>
        <w:gridCol w:w="364"/>
        <w:gridCol w:w="508"/>
        <w:gridCol w:w="508"/>
        <w:gridCol w:w="72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283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Aebi Schmidt Holding AG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Barend Fruithof</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Barend Fruithof</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CEO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Marco Portmann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Marco Portmann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6"/>
                          <w:shd w:fill="FFFFFF" w:val="clear"/>
                        </w:rPr>
                        <w:t xml:space="preserve">Page 42 of </w:t>
                      </w:r>
                      <w:hyperlink w:anchor="i481279e2f0034fa1b00d14c97e4f6417_202">
                        <w:r>
                          <w:rPr>
                            <w:rStyle w:val="InternetLink"/>
                            <w:rFonts w:ascii="Times New Roman;serif" w:hAnsi="Times New Roman;serif"/>
                            <w:b w:val="false"/>
                            <w:strike w:val="false"/>
                            <w:dstrike w:val="false"/>
                            <w:color w:val="000000"/>
                            <w:sz w:val="16"/>
                            <w:u w:val="none"/>
                            <w:effect w:val="none"/>
                            <w:shd w:fill="FFFFFF" w:val="clear"/>
                          </w:rPr>
                          <w:t>43</w:t>
                        </w:r>
                      </w:hyperlink>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AEBI SCHMIDT GROUP</w: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DIRECTOR RESTRICTED STOCK AWARD AGREEMENT</w:t>
      </w:r>
    </w:p>
    <w:p>
      <w:pPr>
        <w:pStyle w:val="TextBody"/>
        <w:bidi w:val="0"/>
        <w:spacing w:before="0" w:after="120"/>
        <w:jc w:val="center"/>
        <w:rPr/>
      </w:pPr>
      <w:r>
        <w:rPr/>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Dear #ParticipantName#,</w:t>
      </w:r>
    </w:p>
    <w:p>
      <w:pPr>
        <w:pStyle w:val="TextBody"/>
        <w:bidi w:val="0"/>
        <w:spacing w:lineRule="auto" w:line="288" w:before="0" w:after="120"/>
        <w:jc w:val="left"/>
        <w:rPr/>
      </w:pPr>
      <w:r>
        <w:rPr>
          <w:rFonts w:ascii="Arial;sans-serif" w:hAnsi="Arial;sans-serif"/>
          <w:b w:val="false"/>
          <w:color w:val="000000"/>
          <w:sz w:val="22"/>
        </w:rPr>
        <w:t>This is an individual Award Agreement under the “Equity Incentive Plan Aebi Schmidt Group” (the “</w:t>
      </w:r>
      <w:r>
        <w:rPr>
          <w:rFonts w:ascii="Arial;sans-serif" w:hAnsi="Arial;sans-serif"/>
          <w:b/>
          <w:color w:val="000000"/>
          <w:sz w:val="22"/>
        </w:rPr>
        <w:t>Plan</w:t>
      </w:r>
      <w:r>
        <w:rPr>
          <w:color w:val="000000"/>
        </w:rPr>
        <w:t>”</w:t>
      </w:r>
      <w:r>
        <w:rPr>
          <w:rFonts w:ascii="Arial;sans-serif" w:hAnsi="Arial;sans-serif"/>
          <w:b w:val="false"/>
          <w:color w:val="000000"/>
          <w:sz w:val="22"/>
        </w:rPr>
        <w:t>); capitalized terms not defined herein shall have the meaning assigned to such terms in Appendix 1 to the Plan.</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We are very happy to confirm your grant of Restricted Stock (“RS”), subject to the terms and conditions of the Plan and the further individual details set out below:</w:t>
      </w:r>
    </w:p>
    <w:tbl>
      <w:tblPr>
        <w:tblW w:w="10205" w:type="dxa"/>
        <w:jc w:val="left"/>
        <w:tblInd w:w="0" w:type="dxa"/>
        <w:tblLayout w:type="fixed"/>
        <w:tblCellMar>
          <w:top w:w="28" w:type="dxa"/>
          <w:left w:w="28" w:type="dxa"/>
          <w:bottom w:w="28" w:type="dxa"/>
          <w:right w:w="28" w:type="dxa"/>
        </w:tblCellMar>
      </w:tblPr>
      <w:tblGrid>
        <w:gridCol w:w="2682"/>
        <w:gridCol w:w="2338"/>
        <w:gridCol w:w="2349"/>
        <w:gridCol w:w="830"/>
        <w:gridCol w:w="830"/>
        <w:gridCol w:w="1176"/>
      </w:tblGrid>
      <w:tr>
        <w:trPr/>
        <w:tc>
          <w:tcPr>
            <w:tcW w:w="2682"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Name of the Participant</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#ParticipantName#</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Birth date of the Participant</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#GrantCustom1#</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Individual Grant Target Value</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 $#GrantCustom2# (USD)</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RS Conversion Price</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 $Conversion Price(USD)</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Resulting Number of Shares granted</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 #QuantityGranted#</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Allocation Date</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Grant Date</w:t>
            </w:r>
          </w:p>
        </w:tc>
      </w:tr>
      <w:tr>
        <w:trPr/>
        <w:tc>
          <w:tcPr>
            <w:tcW w:w="7369"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Restriction Period End Date</w:t>
            </w:r>
          </w:p>
        </w:tc>
        <w:tc>
          <w:tcPr>
            <w:tcW w:w="28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End Date</w:t>
            </w:r>
          </w:p>
        </w:tc>
      </w:tr>
      <w:tr>
        <w:trPr/>
        <w:tc>
          <w:tcPr>
            <w:tcW w:w="7369" w:type="dxa"/>
            <w:gridSpan w:val="3"/>
            <w:tcBorders>
              <w:top w:val="single" w:sz="4" w:space="0" w:color="000000"/>
              <w:left w:val="single" w:sz="4" w:space="0" w:color="000000"/>
              <w:bottom w:val="single" w:sz="4" w:space="0" w:color="000000"/>
            </w:tcBorders>
            <w:shd w:fill="E8E8E8" w:val="clear"/>
            <w:tcMar>
              <w:top w:w="30" w:type="dxa"/>
              <w:bottom w:w="3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Further relevant rules, if deviating from the general terms and conditions of the Plan</w:t>
            </w:r>
          </w:p>
        </w:tc>
        <w:tc>
          <w:tcPr>
            <w:tcW w:w="283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None</w:t>
            </w:r>
          </w:p>
        </w:tc>
      </w:tr>
    </w:tbl>
    <w:p>
      <w:pPr>
        <w:pStyle w:val="TextBody"/>
        <w:bidi w:val="0"/>
        <w:spacing w:before="0" w:after="120"/>
        <w:jc w:val="both"/>
        <w:rPr/>
      </w:pPr>
      <w:r>
        <w:rPr/>
      </w:r>
    </w:p>
    <w:p>
      <w:pPr>
        <w:pStyle w:val="TextBody"/>
        <w:bidi w:val="0"/>
        <w:spacing w:lineRule="auto" w:line="288" w:before="0" w:after="120"/>
        <w:jc w:val="left"/>
        <w:rPr/>
      </w:pPr>
      <w:r>
        <w:rPr>
          <w:rFonts w:ascii="Arial;sans-serif" w:hAnsi="Arial;sans-serif"/>
          <w:b w:val="false"/>
          <w:color w:val="000000"/>
          <w:sz w:val="22"/>
        </w:rPr>
        <w:t xml:space="preserve">In signing this Award Agreement </w:t>
      </w:r>
      <w:r>
        <w:rPr>
          <w:rFonts w:ascii="Arial;sans-serif" w:hAnsi="Arial;sans-serif"/>
          <w:b/>
          <w:color w:val="000000"/>
          <w:sz w:val="22"/>
          <w:u w:val="single"/>
        </w:rPr>
        <w:t>by [Date]</w:t>
      </w:r>
      <w:r>
        <w:rPr>
          <w:rFonts w:ascii="Arial;sans-serif" w:hAnsi="Arial;sans-serif"/>
          <w:b w:val="false"/>
          <w:color w:val="000000"/>
          <w:sz w:val="22"/>
        </w:rPr>
        <w:t>, the above individual accepts and acknowledges the terms and conditions of the Plan (including all appendices and related documents) as well as the further details set out in this Award Agreement. Unless otherwise determined by the Board, any Award Agreement signed and/or submitted after the aforementioned due date shall be invalid, i.e., the respective RS award will be deemed not having been granted.</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The Board in its sole discretion may determine electronic Award Agreement acceptance procedures. For the [Year] grant, Award Agreements are to be reviewed and accepted via the Fidelity stock administration system.</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The Participant represents to the Company that the Participant has reviewed with the Participant's own tax advisors the tax consequences of this award of RS and the transactions contemplated by this Award Agreement. The Participant is relying solely on such advisors and not on any statements or representations of the Company or any of its agents.</w:t>
      </w:r>
    </w:p>
    <w:p>
      <w:pPr>
        <w:pStyle w:val="TextBody"/>
        <w:bidi w:val="0"/>
        <w:spacing w:lineRule="auto" w:line="288" w:before="0" w:after="120"/>
        <w:jc w:val="left"/>
        <w:rPr/>
      </w:pPr>
      <w:r>
        <w:rPr>
          <w:rFonts w:ascii="Arial;sans-serif" w:hAnsi="Arial;sans-serif"/>
          <w:b w:val="false"/>
          <w:color w:val="000000"/>
          <w:sz w:val="22"/>
        </w:rPr>
        <w:t xml:space="preserve">The following additional rules and limitations apply to Awards granted to </w:t>
      </w:r>
      <w:r>
        <w:rPr>
          <w:rFonts w:ascii="Arial;sans-serif" w:hAnsi="Arial;sans-serif"/>
          <w:b/>
          <w:color w:val="000000"/>
          <w:sz w:val="22"/>
          <w:u w:val="single"/>
        </w:rPr>
        <w:t>Participants subject to Section 16 of the U.S. Securities Exchange Act of 1934</w:t>
      </w:r>
      <w:r>
        <w:rPr>
          <w:rFonts w:ascii="Arial;sans-serif" w:hAnsi="Arial;sans-serif"/>
          <w:b w:val="false"/>
          <w:color w:val="000000"/>
          <w:sz w:val="22"/>
        </w:rPr>
        <w:t>, as amended (the "Exchange Act"), and they may be disregarded for other Participants: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If the Participant is subject to Section 16 of the Exchange Act, the Plan, this Award Agreement, and the RS, will be subject to any additional limitations set forth in any </w:t>
      </w:r>
    </w:p>
    <w:p>
      <w:pPr>
        <w:pStyle w:val="TextBody"/>
        <w:bidi w:val="0"/>
        <w:spacing w:before="0" w:after="1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applicable exemptive rule under Section 16 of the Exchange Act (including any amendment to Rule 16b-3) that are requirements for the application of such exemptive rule. To the extent applicable laws permit, this Award Agreement will be deemed amended as necessary to conform to such applicable exemptive rule.</w:t>
      </w:r>
    </w:p>
    <w:p>
      <w:pPr>
        <w:pStyle w:val="TextBody"/>
        <w:bidi w:val="0"/>
        <w:spacing w:lineRule="auto" w:line="288" w:before="0" w:after="120"/>
        <w:jc w:val="left"/>
        <w:rPr/>
      </w:pPr>
      <w:r>
        <w:rPr>
          <w:rFonts w:ascii="Arial;sans-serif" w:hAnsi="Arial;sans-serif"/>
          <w:b w:val="false"/>
          <w:color w:val="000000"/>
          <w:sz w:val="22"/>
        </w:rPr>
        <w:t xml:space="preserve">The following additional special rules and limitations apply to Awards granted to </w:t>
      </w:r>
      <w:r>
        <w:rPr>
          <w:rFonts w:ascii="Arial;sans-serif" w:hAnsi="Arial;sans-serif"/>
          <w:b/>
          <w:color w:val="000000"/>
          <w:sz w:val="22"/>
          <w:u w:val="single"/>
        </w:rPr>
        <w:t>U.S. Participants</w:t>
      </w:r>
      <w:r>
        <w:rPr>
          <w:color w:val="000000"/>
        </w:rPr>
        <w:t xml:space="preserve"> </w:t>
      </w:r>
      <w:r>
        <w:rPr>
          <w:rFonts w:ascii="Arial;sans-serif" w:hAnsi="Arial;sans-serif"/>
          <w:b w:val="false"/>
          <w:color w:val="000000"/>
          <w:sz w:val="22"/>
        </w:rPr>
        <w:t>(as defined hereinafter), and they may be disregarded for other Participants: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U.S. Participants”, for the purposes of the Plan, this Award Agreement, and the Awards granted herewith, are all Participants subject to the tax regime of the United States, including, without limitation, U.S. citizens, green-card holders, U.S. residents, or persons performing services for the Group in the United States of America.</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"Code" means the United States Internal Revenue Code of 1986, as amended, and any applicable United States Treasury Regulations and other binding regulatory guidance thereunder.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With respect to U.S. Participants, this Plan as well as payments and benefits under this Plan, are intended to be exempt from, or to the extent subject thereto, to comply with, Section 409A of the Code ("</w:t>
      </w:r>
      <w:r>
        <w:rPr>
          <w:rFonts w:ascii="Arial;sans-serif" w:hAnsi="Arial;sans-serif"/>
          <w:b/>
          <w:color w:val="000000"/>
          <w:sz w:val="22"/>
        </w:rPr>
        <w:t>Section 409A</w:t>
      </w:r>
      <w:r>
        <w:rPr>
          <w:rFonts w:ascii="Arial;sans-serif" w:hAnsi="Arial;sans-serif"/>
          <w:b w:val="false"/>
          <w:color w:val="000000"/>
          <w:sz w:val="22"/>
        </w:rPr>
        <w:t>"), and, accordingly, to the maximum extent permitted, this Plan shall be interpreted in accordance therewith. Notwithstanding anything contained in this Plan to the contrary, to the extent required in order to avoid accelerated taxation and/or tax penalties under Section 409A, the Participant shall not be considered to have terminated employment or service with the Company for purposes of this Plan and no payment shall be due to the Participant under this Plan or any Award until the Participant would be considered to have incurred a "separation from service" from the Company and its Subsidiaries within the meaning of Section 409A. Any payments described in this Plan that are due within the "short term deferral period" as defined in Section 409A, shall not be treated as deferred compensation unless applicable law requires otherwise. Notwithstanding anything to the contrary in this Plan, to the extent that any Awards (or any other amounts payable under any plan, program or arrangement of the Company or any of its Subsidiaries) are payable upon a separation from service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Neither the Company nor any of its Subsidiaries makes any representation that any or all of the payments or benefits described in this Plan will be exempt from or comply with Section 409A and makes no undertaking to preclude Section 409A from applying to any such payment. Neither the Company nor any person acting on its behalf shall be liable to any Participant or to the estate or beneficiary of any Participant by reason of any acceleration of income, or any additional tax, asserted by reason of the failure of an award hereunder to satisfy the requirements of Section 409A. The Participant shall be solely responsible for the payment of any taxes and penalties incurred under Section 409A.</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 xml:space="preserve">Participation in the Plan confers no rights or interests other than as herein provided. This Award Agreement creates only a contractual obligation on the part of the Company as to amounts payable and may not be construed as creating a trust. Neither the Plan nor any underlying program, in and of itself, has any assets. </w:t>
      </w: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Board deems necessary or appropriate to satisfy any applicable laws. The Company's inability to obtain authority from any regulatory body having jurisdiction, which the Board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Aebi Schmidt Holding AG:            </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[Grant Date]</w:t>
      </w:r>
    </w:p>
    <w:tbl>
      <w:tblPr>
        <w:tblW w:w="8127" w:type="dxa"/>
        <w:jc w:val="left"/>
        <w:tblInd w:w="0" w:type="dxa"/>
        <w:tblLayout w:type="fixed"/>
        <w:tblCellMar>
          <w:top w:w="28" w:type="dxa"/>
          <w:left w:w="28" w:type="dxa"/>
          <w:bottom w:w="28" w:type="dxa"/>
          <w:right w:w="28" w:type="dxa"/>
        </w:tblCellMar>
      </w:tblPr>
      <w:tblGrid>
        <w:gridCol w:w="1570"/>
        <w:gridCol w:w="1378"/>
        <w:gridCol w:w="1387"/>
        <w:gridCol w:w="109"/>
        <w:gridCol w:w="109"/>
        <w:gridCol w:w="109"/>
        <w:gridCol w:w="1015"/>
        <w:gridCol w:w="1015"/>
        <w:gridCol w:w="1435"/>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/s/ Barend Fruithof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/s/ Andreas Rickenbacher</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Barend Fruithof, Chairman and Group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Andreas Rickenbacher, Chairman</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Compensation Committee</w:t>
            </w:r>
          </w:p>
        </w:tc>
      </w:tr>
    </w:tbl>
    <w:p>
      <w:pPr>
        <w:pStyle w:val="TextBody"/>
        <w:bidi w:val="0"/>
        <w:spacing w:before="0" w:after="120"/>
        <w:jc w:val="left"/>
        <w:rPr/>
      </w:pPr>
      <w:r>
        <w:rPr/>
      </w:r>
    </w:p>
    <w:p>
      <w:pPr>
        <w:pStyle w:val="TextBody"/>
        <w:bidi w:val="0"/>
        <w:spacing w:before="0" w:after="16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Participant:</w:t>
      </w:r>
    </w:p>
    <w:p>
      <w:pPr>
        <w:pStyle w:val="TextBody"/>
        <w:bidi w:val="0"/>
        <w:spacing w:before="0" w:after="120"/>
        <w:jc w:val="left"/>
        <w:rPr/>
      </w:pPr>
      <w:r>
        <w:rPr/>
      </w:r>
    </w:p>
    <w:p>
      <w:pPr>
        <w:pStyle w:val="TextBody"/>
        <w:bidi w:val="0"/>
        <w:spacing w:lineRule="auto" w:line="288" w:before="0" w:after="120"/>
        <w:jc w:val="left"/>
        <w:rPr>
          <w:rFonts w:ascii="Aptos;sans-serif" w:hAnsi="Aptos;sans-serif"/>
          <w:b/>
          <w:i/>
          <w:color w:val="000000"/>
          <w:sz w:val="20"/>
        </w:rPr>
      </w:pPr>
      <w:r>
        <w:rPr>
          <w:rFonts w:ascii="Aptos;sans-serif" w:hAnsi="Aptos;sans-serif"/>
          <w:b/>
          <w:i/>
          <w:color w:val="000000"/>
          <w:sz w:val="20"/>
        </w:rPr>
        <w:t xml:space="preserve">Click Accept in the Fidelity stock administration </w:t>
      </w:r>
    </w:p>
    <w:p>
      <w:pPr>
        <w:pStyle w:val="TextBody"/>
        <w:bidi w:val="0"/>
        <w:spacing w:lineRule="auto" w:line="288" w:before="0" w:after="120"/>
        <w:jc w:val="left"/>
        <w:rPr>
          <w:rFonts w:ascii="Aptos;sans-serif" w:hAnsi="Aptos;sans-serif"/>
          <w:b/>
          <w:i/>
          <w:color w:val="000000"/>
          <w:sz w:val="20"/>
        </w:rPr>
      </w:pPr>
      <w:r>
        <w:rPr>
          <w:rFonts w:ascii="Aptos;sans-serif" w:hAnsi="Aptos;sans-serif"/>
          <w:b/>
          <w:i/>
          <w:color w:val="000000"/>
          <w:sz w:val="20"/>
        </w:rPr>
        <w:t>system to accept this Award Agreement.</w:t>
      </w:r>
    </w:p>
    <w:p>
      <w:pPr>
        <w:pStyle w:val="TextBody"/>
        <w:bidi w:val="0"/>
        <w:spacing w:lineRule="auto" w:line="288" w:before="0" w:after="12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____________________________________________</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#ParticipantName#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10.4</w: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AEBI SCHMIDT GROUP</w: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RESTRICTED STOCK UNIT AWARD AGREEMENT</w:t>
      </w:r>
    </w:p>
    <w:p>
      <w:pPr>
        <w:pStyle w:val="TextBody"/>
        <w:bidi w:val="0"/>
        <w:spacing w:before="0" w:after="120"/>
        <w:jc w:val="center"/>
        <w:rPr/>
      </w:pPr>
      <w:r>
        <w:rPr/>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Dear #ParticipantName#,</w:t>
      </w:r>
    </w:p>
    <w:p>
      <w:pPr>
        <w:pStyle w:val="TextBody"/>
        <w:bidi w:val="0"/>
        <w:spacing w:lineRule="auto" w:line="288" w:before="0" w:after="120"/>
        <w:jc w:val="left"/>
        <w:rPr/>
      </w:pPr>
      <w:r>
        <w:rPr>
          <w:rFonts w:ascii="Arial;sans-serif" w:hAnsi="Arial;sans-serif"/>
          <w:b w:val="false"/>
          <w:color w:val="000000"/>
          <w:sz w:val="22"/>
        </w:rPr>
        <w:t>This is an individual Award Agreement under the “Equity Incentive Plan Aebi Schmidt Group” (the “</w:t>
      </w:r>
      <w:r>
        <w:rPr>
          <w:rFonts w:ascii="Arial;sans-serif" w:hAnsi="Arial;sans-serif"/>
          <w:b/>
          <w:color w:val="000000"/>
          <w:sz w:val="22"/>
        </w:rPr>
        <w:t>Plan</w:t>
      </w:r>
      <w:r>
        <w:rPr>
          <w:color w:val="000000"/>
        </w:rPr>
        <w:t>”</w:t>
      </w:r>
      <w:r>
        <w:rPr>
          <w:rFonts w:ascii="Arial;sans-serif" w:hAnsi="Arial;sans-serif"/>
          <w:b w:val="false"/>
          <w:color w:val="000000"/>
          <w:sz w:val="22"/>
        </w:rPr>
        <w:t>); capitalized terms not defined herein shall have the meaning assigned to such terms in Appendix 1 to the Plan.</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We are very happy to confirm that the Board has decided to offer to you a grant of Restricted Stock Units (“RSUs”), subject to the terms and conditions of the Plan and the further individual details set out below:</w:t>
      </w:r>
    </w:p>
    <w:tbl>
      <w:tblPr>
        <w:tblW w:w="10205" w:type="dxa"/>
        <w:jc w:val="left"/>
        <w:tblInd w:w="0" w:type="dxa"/>
        <w:tblLayout w:type="fixed"/>
        <w:tblCellMar>
          <w:top w:w="28" w:type="dxa"/>
          <w:left w:w="28" w:type="dxa"/>
          <w:bottom w:w="28" w:type="dxa"/>
          <w:right w:w="28" w:type="dxa"/>
        </w:tblCellMar>
      </w:tblPr>
      <w:tblGrid>
        <w:gridCol w:w="2610"/>
        <w:gridCol w:w="2274"/>
        <w:gridCol w:w="2286"/>
        <w:gridCol w:w="888"/>
        <w:gridCol w:w="888"/>
        <w:gridCol w:w="1259"/>
      </w:tblGrid>
      <w:tr>
        <w:trPr/>
        <w:tc>
          <w:tcPr>
            <w:tcW w:w="2610"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Name of the Participant</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#ParticipantName#</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Birth date of the Participant</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#GrantCustom1#</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Individual Grant Target Value</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RSUs: $#GrantCustom2# (USD)</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RSU Conversion Price</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RSUs: $Conversion Price (USD)</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Resulting Number of Units granted</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RSUs: #QuantityGranted#</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Grant Date</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Grant Date</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Vesting Date</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Vesting Date</w:t>
            </w:r>
          </w:p>
        </w:tc>
      </w:tr>
      <w:tr>
        <w:trPr/>
        <w:tc>
          <w:tcPr>
            <w:tcW w:w="7170" w:type="dxa"/>
            <w:gridSpan w:val="3"/>
            <w:tcBorders>
              <w:top w:val="single" w:sz="4" w:space="0" w:color="000000"/>
              <w:left w:val="single" w:sz="4" w:space="0" w:color="000000"/>
            </w:tcBorders>
            <w:shd w:fill="E8E8E8" w:val="clear"/>
            <w:tcMar>
              <w:top w:w="30" w:type="dxa"/>
              <w:bottom w:w="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Share Delivery Date</w:t>
            </w:r>
          </w:p>
        </w:tc>
        <w:tc>
          <w:tcPr>
            <w:tcW w:w="3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As per article 5.7 of the Plan</w:t>
            </w:r>
          </w:p>
        </w:tc>
      </w:tr>
      <w:tr>
        <w:trPr/>
        <w:tc>
          <w:tcPr>
            <w:tcW w:w="7170" w:type="dxa"/>
            <w:gridSpan w:val="3"/>
            <w:tcBorders>
              <w:top w:val="single" w:sz="4" w:space="0" w:color="000000"/>
              <w:left w:val="single" w:sz="4" w:space="0" w:color="000000"/>
              <w:bottom w:val="single" w:sz="4" w:space="0" w:color="000000"/>
            </w:tcBorders>
            <w:shd w:fill="E8E8E8" w:val="clear"/>
            <w:tcMar>
              <w:top w:w="30" w:type="dxa"/>
              <w:bottom w:w="30" w:type="dxa"/>
              <w:right w:w="0" w:type="dxa"/>
            </w:tcMar>
            <w:vAlign w:val="center"/>
          </w:tcPr>
          <w:p>
            <w:pPr>
              <w:pStyle w:val="TableContents"/>
              <w:bidi w:val="0"/>
              <w:spacing w:lineRule="auto" w:line="300" w:before="60" w:after="60"/>
              <w:jc w:val="left"/>
              <w:rPr>
                <w:rFonts w:ascii="Arial;sans-serif" w:hAnsi="Arial;sans-serif"/>
                <w:b/>
                <w:color w:val="000000"/>
                <w:sz w:val="22"/>
              </w:rPr>
            </w:pPr>
            <w:r>
              <w:rPr>
                <w:rFonts w:ascii="Arial;sans-serif" w:hAnsi="Arial;sans-serif"/>
                <w:b/>
                <w:color w:val="000000"/>
                <w:sz w:val="22"/>
              </w:rPr>
              <w:t>Further relevant rules, if deviating from the general terms and conditions of the Plan</w:t>
            </w:r>
          </w:p>
        </w:tc>
        <w:tc>
          <w:tcPr>
            <w:tcW w:w="30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60" w:after="60"/>
              <w:jc w:val="left"/>
              <w:rPr>
                <w:rFonts w:ascii="Arial;sans-serif" w:hAnsi="Arial;sans-serif"/>
                <w:b w:val="false"/>
                <w:color w:val="000000"/>
                <w:sz w:val="22"/>
              </w:rPr>
            </w:pPr>
            <w:r>
              <w:rPr>
                <w:rFonts w:ascii="Arial;sans-serif" w:hAnsi="Arial;sans-serif"/>
                <w:b w:val="false"/>
                <w:color w:val="000000"/>
                <w:sz w:val="22"/>
              </w:rPr>
              <w:t>None</w:t>
            </w:r>
          </w:p>
        </w:tc>
      </w:tr>
    </w:tbl>
    <w:p>
      <w:pPr>
        <w:pStyle w:val="TextBody"/>
        <w:bidi w:val="0"/>
        <w:spacing w:before="0" w:after="120"/>
        <w:jc w:val="both"/>
        <w:rPr/>
      </w:pPr>
      <w:r>
        <w:rPr/>
      </w:r>
    </w:p>
    <w:p>
      <w:pPr>
        <w:pStyle w:val="TextBody"/>
        <w:bidi w:val="0"/>
        <w:spacing w:lineRule="auto" w:line="288" w:before="0" w:after="120"/>
        <w:jc w:val="left"/>
        <w:rPr/>
      </w:pPr>
      <w:r>
        <w:rPr>
          <w:rFonts w:ascii="Arial;sans-serif" w:hAnsi="Arial;sans-serif"/>
          <w:b w:val="false"/>
          <w:color w:val="000000"/>
          <w:sz w:val="22"/>
        </w:rPr>
        <w:t xml:space="preserve">In signing this Award Agreement </w:t>
      </w:r>
      <w:r>
        <w:rPr>
          <w:rFonts w:ascii="Arial;sans-serif" w:hAnsi="Arial;sans-serif"/>
          <w:b/>
          <w:color w:val="000000"/>
          <w:sz w:val="22"/>
          <w:u w:val="single"/>
        </w:rPr>
        <w:t>by [Date]</w:t>
      </w:r>
      <w:r>
        <w:rPr>
          <w:rFonts w:ascii="Arial;sans-serif" w:hAnsi="Arial;sans-serif"/>
          <w:b w:val="false"/>
          <w:color w:val="000000"/>
          <w:sz w:val="22"/>
        </w:rPr>
        <w:t>, the above individual accepts and acknowledges the terms and conditions of the Plan (including all appendices and related documents) as well as the further details set out in this Award Agreement, and thus becomes a Participant with respect to the grant of RSUs as stated above. Unless otherwise determined by the Board, any Award Agreement signed and/or submitted after the aforementioned due date shall be invalid, i.e., the respective RSUs will be deemed not having been granted.</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The Board in its sole discretion may determine electronic Award Agreement acceptance procedures. For the [Year] grant, Award Agreements are to be reviewed and accepted via the Fidelity stock administration system.</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The Participant represents to the Company that the Participant has reviewed with the Participant's own tax advisors the tax consequences of this award of RSUs and the transactions contemplated by this Award Agreement. The Participant is relying solely on such advisors and not on any statements or representations of the Company or any of its agents.</w:t>
      </w:r>
    </w:p>
    <w:p>
      <w:pPr>
        <w:pStyle w:val="TextBody"/>
        <w:bidi w:val="0"/>
        <w:spacing w:before="0" w:after="1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jc w:val="left"/>
        <w:rPr/>
      </w:pPr>
      <w:r>
        <w:rPr>
          <w:rFonts w:ascii="Arial;sans-serif" w:hAnsi="Arial;sans-serif"/>
          <w:b w:val="false"/>
          <w:color w:val="000000"/>
          <w:sz w:val="22"/>
        </w:rPr>
        <w:t xml:space="preserve">The following additional rules and limitations apply to Awards granted to </w:t>
      </w:r>
      <w:r>
        <w:rPr>
          <w:rFonts w:ascii="Arial;sans-serif" w:hAnsi="Arial;sans-serif"/>
          <w:b/>
          <w:color w:val="000000"/>
          <w:sz w:val="22"/>
          <w:u w:val="single"/>
        </w:rPr>
        <w:t>Participants subject to Section 16 of the U.S. Securities Exchange Act of 1934</w:t>
      </w:r>
      <w:r>
        <w:rPr>
          <w:rFonts w:ascii="Arial;sans-serif" w:hAnsi="Arial;sans-serif"/>
          <w:b w:val="false"/>
          <w:color w:val="000000"/>
          <w:sz w:val="22"/>
        </w:rPr>
        <w:t>, as amended (the "Exchange Act"), and they may be disregarded for other Participants: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If the Participant is subject to Section 16 of the Exchange Act, the Plan, this Award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Award Agreement will be deemed amended as necessary to conform to such applicable exemptive rule.</w:t>
      </w:r>
    </w:p>
    <w:p>
      <w:pPr>
        <w:pStyle w:val="TextBody"/>
        <w:bidi w:val="0"/>
        <w:spacing w:lineRule="auto" w:line="288" w:before="0" w:after="120"/>
        <w:jc w:val="left"/>
        <w:rPr/>
      </w:pPr>
      <w:r>
        <w:rPr>
          <w:rFonts w:ascii="Arial;sans-serif" w:hAnsi="Arial;sans-serif"/>
          <w:b w:val="false"/>
          <w:color w:val="000000"/>
          <w:sz w:val="22"/>
        </w:rPr>
        <w:t xml:space="preserve">The following additional special rules and limitations apply to Awards granted to </w:t>
      </w:r>
      <w:r>
        <w:rPr>
          <w:rFonts w:ascii="Arial;sans-serif" w:hAnsi="Arial;sans-serif"/>
          <w:b/>
          <w:color w:val="000000"/>
          <w:sz w:val="22"/>
          <w:u w:val="single"/>
        </w:rPr>
        <w:t>U.S. Participants</w:t>
      </w:r>
      <w:r>
        <w:rPr>
          <w:color w:val="000000"/>
        </w:rPr>
        <w:t xml:space="preserve"> </w:t>
      </w:r>
      <w:r>
        <w:rPr>
          <w:rFonts w:ascii="Arial;sans-serif" w:hAnsi="Arial;sans-serif"/>
          <w:b w:val="false"/>
          <w:color w:val="000000"/>
          <w:sz w:val="22"/>
        </w:rPr>
        <w:t>(as defined hereinafter), and they may be disregarded for other Participants: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U.S. Participants”, for the purposes of the Plan, this Award Agreement, and the Awards granted herewith, are all Participants subject to the tax regime of the United States, including, without limitation, U.S. citizens, green-card holders, U.S. residents, or persons performing services for the Group in the United States of America.</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"Code" means the United States Internal Revenue Code of 1986, as amended, and any applicable United States Treasury Regulations and other binding regulatory guidance thereunder.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With respect to U.S. Participants, this Plan as well as payments and benefits under this Plan, are intended to be exempt from, or to the extent subject thereto, to comply with, Section 409A of the Code ("</w:t>
      </w:r>
      <w:r>
        <w:rPr>
          <w:rFonts w:ascii="Arial;sans-serif" w:hAnsi="Arial;sans-serif"/>
          <w:b/>
          <w:color w:val="000000"/>
          <w:sz w:val="22"/>
        </w:rPr>
        <w:t>Section 409A</w:t>
      </w:r>
      <w:r>
        <w:rPr>
          <w:rFonts w:ascii="Arial;sans-serif" w:hAnsi="Arial;sans-serif"/>
          <w:b w:val="false"/>
          <w:color w:val="000000"/>
          <w:sz w:val="22"/>
        </w:rPr>
        <w:t>"), and, accordingly, to the maximum extent permitted, this Plan shall be interpreted in accordance therewith. Notwithstanding anything contained in this Plan to the contrary, to the extent required in order to avoid accelerated taxation and/or tax penalties under Section 409A, the Participant shall not be considered to have terminated employment or service with the Company for purposes of this Plan and no payment shall be due to the Participant under this Plan or any Award until the Participant would be considered to have incurred a "separation from service" from the Company and its Subsidiaries within the meaning of Section 409A. Any payments described in this Plan that are due within the "short term deferral period" as defined in Section 409A, shall not be treated as deferred compensation unless applicable law requires otherwise. Notwithstanding anything to the contrary in this Plan, to the extent that any Awards (or any other amounts payable under any plan, program or arrangement of the Company or any of its Subsidiaries) are payable upon a separation from service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Neither the Company nor any of its Subsidiaries makes any representation that any or all of the payments or benefits described in this Plan will be exempt from or comply with Section 409A and makes no undertaking to preclude Section 409A from applying to any such payment. Neither the Company nor any person acting on its behalf shall be liable to any Participant or to the estate or beneficiary of any Participant by reason of any acceleration of income, or any additional tax, asserted by reason of the failure of an award hereunder to satisfy the requirements of Section 409A. The Participant shall be solely responsible for the payment of any taxes and penalties incurred under Section 409A.</w:t>
      </w:r>
    </w:p>
    <w:p>
      <w:pPr>
        <w:pStyle w:val="TextBody"/>
        <w:bidi w:val="0"/>
        <w:spacing w:before="0" w:after="1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Participation in the Plan confers no rights or interests other than as herein provided. This Award Agreement creates only a contractual obligation on the part of the Company as to amounts payable and may not be construed as creating a trust. Neither the Plan nor any underlying program, in and of itself, has any assets. The Participant will have only the rights of a general unsecured creditor of the Company with respect to amounts credited and benefits payable, if any, with respect to the RSUs, and rights no greater than the right to receive Shares as a general unsecured creditor with respect to the RSUs, as and when settled pursuant to the terms of this Award Agreement.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2"/>
        </w:rPr>
        <w:t>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Board deems necessary or appropriate to satisfy any applicable laws. The Company's inability to obtain authority from any regulatory body having jurisdiction, which the Board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Aebi Schmidt Holding AG:            </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[Grant Date]</w:t>
      </w:r>
    </w:p>
    <w:tbl>
      <w:tblPr>
        <w:tblW w:w="8127" w:type="dxa"/>
        <w:jc w:val="left"/>
        <w:tblInd w:w="0" w:type="dxa"/>
        <w:tblLayout w:type="fixed"/>
        <w:tblCellMar>
          <w:top w:w="28" w:type="dxa"/>
          <w:left w:w="28" w:type="dxa"/>
          <w:bottom w:w="28" w:type="dxa"/>
          <w:right w:w="28" w:type="dxa"/>
        </w:tblCellMar>
      </w:tblPr>
      <w:tblGrid>
        <w:gridCol w:w="1570"/>
        <w:gridCol w:w="1378"/>
        <w:gridCol w:w="1387"/>
        <w:gridCol w:w="109"/>
        <w:gridCol w:w="109"/>
        <w:gridCol w:w="109"/>
        <w:gridCol w:w="1015"/>
        <w:gridCol w:w="1015"/>
        <w:gridCol w:w="1435"/>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/s/ Barend Fruithof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/s/ Andreas Rickenbacher</w:t>
            </w:r>
          </w:p>
        </w:tc>
      </w:tr>
      <w:tr>
        <w:trPr/>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Barend Fruithof, Chairman and Group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Andreas Rickenbacher, Chairman</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Compensation Committee</w:t>
            </w:r>
          </w:p>
        </w:tc>
      </w:tr>
    </w:tbl>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Participant:</w:t>
      </w:r>
    </w:p>
    <w:p>
      <w:pPr>
        <w:pStyle w:val="TextBody"/>
        <w:bidi w:val="0"/>
        <w:spacing w:before="0" w:after="120"/>
        <w:jc w:val="left"/>
        <w:rPr/>
      </w:pPr>
      <w:r>
        <w:rPr/>
      </w:r>
    </w:p>
    <w:p>
      <w:pPr>
        <w:pStyle w:val="TextBody"/>
        <w:bidi w:val="0"/>
        <w:spacing w:lineRule="auto" w:line="288" w:before="0" w:after="120"/>
        <w:jc w:val="left"/>
        <w:rPr>
          <w:rFonts w:ascii="Aptos;sans-serif" w:hAnsi="Aptos;sans-serif"/>
          <w:b/>
          <w:i/>
          <w:color w:val="000000"/>
          <w:sz w:val="20"/>
        </w:rPr>
      </w:pPr>
      <w:r>
        <w:rPr>
          <w:rFonts w:ascii="Aptos;sans-serif" w:hAnsi="Aptos;sans-serif"/>
          <w:b/>
          <w:i/>
          <w:color w:val="000000"/>
          <w:sz w:val="20"/>
        </w:rPr>
        <w:t xml:space="preserve">Click Accept in the Fidelity stock administration </w:t>
      </w:r>
    </w:p>
    <w:p>
      <w:pPr>
        <w:pStyle w:val="TextBody"/>
        <w:bidi w:val="0"/>
        <w:spacing w:lineRule="auto" w:line="288" w:before="0" w:after="120"/>
        <w:jc w:val="left"/>
        <w:rPr>
          <w:rFonts w:ascii="Aptos;sans-serif" w:hAnsi="Aptos;sans-serif"/>
          <w:b/>
          <w:i/>
          <w:color w:val="000000"/>
          <w:sz w:val="20"/>
        </w:rPr>
      </w:pPr>
      <w:r>
        <w:rPr>
          <w:rFonts w:ascii="Aptos;sans-serif" w:hAnsi="Aptos;sans-serif"/>
          <w:b/>
          <w:i/>
          <w:color w:val="000000"/>
          <w:sz w:val="20"/>
        </w:rPr>
        <w:t>system to accept this Award Agreement.</w:t>
      </w:r>
    </w:p>
    <w:p>
      <w:pPr>
        <w:pStyle w:val="TextBody"/>
        <w:bidi w:val="0"/>
        <w:spacing w:lineRule="auto" w:line="288" w:before="0" w:after="12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____________________________________________</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#ParticipantName#</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BY THE GROUP CHIEF EXECUTIVE OFFICER PURSUANT TO SECTION 302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Barend Fruithof, certify that: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Aebi Schmidt Holding AG;</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(b)[Omitted in accordance with Rule 15d-14(a) of the Securities Exchange Act of 1934];</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45" w:type="dxa"/>
        <w:jc w:val="left"/>
        <w:tblInd w:w="0" w:type="dxa"/>
        <w:tblLayout w:type="fixed"/>
        <w:tblCellMar>
          <w:top w:w="28" w:type="dxa"/>
          <w:left w:w="28" w:type="dxa"/>
          <w:bottom w:w="28" w:type="dxa"/>
          <w:right w:w="28" w:type="dxa"/>
        </w:tblCellMar>
      </w:tblPr>
      <w:tblGrid>
        <w:gridCol w:w="705"/>
        <w:gridCol w:w="621"/>
        <w:gridCol w:w="624"/>
        <w:gridCol w:w="1460"/>
        <w:gridCol w:w="1460"/>
        <w:gridCol w:w="207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Barend Fruithof</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Barend Fruithof</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Chief Executive Officer (Principal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Aebi Schmidt Holding AG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BY THE GROUP CHIEF FINANCIAL OFFICER PURSUANT TO SECTION 302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Marco Portmann, certify that: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Aebi Schmidt Holding AG;</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(b)[Omitted in accordance with Rule 15d-14(a) of the Securities Exchange Act of 1934];</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25" w:type="dxa"/>
        <w:jc w:val="left"/>
        <w:tblInd w:w="0" w:type="dxa"/>
        <w:tblLayout w:type="fixed"/>
        <w:tblCellMar>
          <w:top w:w="28" w:type="dxa"/>
          <w:left w:w="28" w:type="dxa"/>
          <w:bottom w:w="28" w:type="dxa"/>
          <w:right w:w="28" w:type="dxa"/>
        </w:tblCellMar>
      </w:tblPr>
      <w:tblGrid>
        <w:gridCol w:w="705"/>
        <w:gridCol w:w="621"/>
        <w:gridCol w:w="624"/>
        <w:gridCol w:w="1424"/>
        <w:gridCol w:w="1424"/>
        <w:gridCol w:w="202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Marco Portmann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Marco Portmann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Chief Financial Officer (Principal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Aebi Schmidt Holding AG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of the undersigned hereby certifies in his capacity as an officer of Aebi Schmidt Holding AG (the “Company”), pursuant to Section 906 of the Sarbanes-Oxley Act of 2002, 18 U.S.C. Section 1350 that, to his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at the end of such period and results of operations of the Company for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80" w:type="dxa"/>
        <w:jc w:val="left"/>
        <w:tblInd w:w="0" w:type="dxa"/>
        <w:tblLayout w:type="fixed"/>
        <w:tblCellMar>
          <w:top w:w="28" w:type="dxa"/>
          <w:left w:w="28" w:type="dxa"/>
          <w:bottom w:w="28" w:type="dxa"/>
          <w:right w:w="28" w:type="dxa"/>
        </w:tblCellMar>
      </w:tblPr>
      <w:tblGrid>
        <w:gridCol w:w="743"/>
        <w:gridCol w:w="653"/>
        <w:gridCol w:w="659"/>
        <w:gridCol w:w="767"/>
        <w:gridCol w:w="767"/>
        <w:gridCol w:w="109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Barend Fruithof</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Barend Fruithof</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Marco Portmann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Marco Portmann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Group 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8519/000117184326003600/exh_31.htm" TargetMode="External"/><Relationship Id="rId3" Type="http://schemas.openxmlformats.org/officeDocument/2006/relationships/hyperlink" Target="https://www.sec.gov/Archives/edgar/data/2048519/000117184326003600/exh_31.htm" TargetMode="External"/><Relationship Id="rId4" Type="http://schemas.openxmlformats.org/officeDocument/2006/relationships/hyperlink" Target="https://www.sec.gov/Archives/edgar/data/2048519/000114036126014254/ny20063963x775_ex10-1.htm" TargetMode="External"/><Relationship Id="rId5" Type="http://schemas.openxmlformats.org/officeDocument/2006/relationships/hyperlink" Target="https://www.sec.gov/Archives/edgar/data/2048519/000114036126014254/ny20063963x775_ex10-1.htm" TargetMode="External"/><Relationship Id="rId6" Type="http://schemas.openxmlformats.org/officeDocument/2006/relationships/hyperlink" Target="https://www.sec.gov/Archives/edgar/data/2048519/000117184326003600/exh_101.htm" TargetMode="External"/><Relationship Id="rId7" Type="http://schemas.openxmlformats.org/officeDocument/2006/relationships/hyperlink" Target="https://www.sec.gov/Archives/edgar/data/2048519/000117184326003600/exh_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20465</Words>
  <Characters>113111</Characters>
  <CharactersWithSpaces>131555</CharactersWithSpaces>
  <Paragraphs>3031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