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f8k_092426.htm"/>
      <w:bookmarkStart w:id="1" w:name="ksf8k_092426"/>
      <w:bookmarkStart w:id="2" w:name="f8k_092426.htm"/>
      <w:bookmarkStart w:id="3" w:name="ksf8k_092426"/>
      <w:bookmarkEnd w:id="2"/>
      <w:bookmarkEnd w:id="3"/>
    </w:p>
    <w:p>
      <w:pPr>
        <w:pStyle w:val="TextBody"/>
        <w:bidi w:val="0"/>
        <w:ind w:left="2" w:right="0" w:hanging="0"/>
        <w:jc w:val="center"/>
        <w:rPr>
          <w:b/>
          <w:sz w:val="20"/>
        </w:rPr>
      </w:pPr>
      <w:r>
        <w:rPr>
          <w:b/>
          <w:sz w:val="20"/>
        </w:rPr>
        <w:t>UNITED STATES</w:t>
      </w:r>
    </w:p>
    <w:p>
      <w:pPr>
        <w:pStyle w:val="TextBody"/>
        <w:bidi w:val="0"/>
        <w:ind w:left="2" w:right="0" w:hanging="0"/>
        <w:jc w:val="center"/>
        <w:rPr>
          <w:b/>
          <w:sz w:val="20"/>
        </w:rPr>
      </w:pPr>
      <w:r>
        <w:rPr>
          <w:b/>
          <w:sz w:val="20"/>
        </w:rPr>
        <w:t>SECURITIES AND EXCHANGE COMMISSION</w:t>
      </w:r>
    </w:p>
    <w:p>
      <w:pPr>
        <w:pStyle w:val="TextBody"/>
        <w:bidi w:val="0"/>
        <w:ind w:left="2" w:right="0" w:hanging="0"/>
        <w:jc w:val="center"/>
        <w:rPr>
          <w:b/>
          <w:sz w:val="20"/>
        </w:rPr>
      </w:pPr>
      <w:r>
        <w:rPr>
          <w:b/>
          <w:sz w:val="20"/>
        </w:rPr>
        <w:t>WASHINGTON, D.C. 20549</w:t>
      </w:r>
    </w:p>
    <w:p>
      <w:pPr>
        <w:pStyle w:val="TextBody"/>
        <w:bidi w:val="0"/>
        <w:ind w:left="2" w:right="0" w:hanging="0"/>
        <w:jc w:val="left"/>
        <w:rPr/>
      </w:pPr>
      <w:r>
        <w:rPr/>
        <w:t> </w:t>
      </w:r>
    </w:p>
    <w:p>
      <w:pPr>
        <w:pStyle w:val="TextBody"/>
        <w:bidi w:val="0"/>
        <w:ind w:left="2" w:right="0" w:hanging="0"/>
        <w:jc w:val="center"/>
        <w:rPr>
          <w:b/>
          <w:sz w:val="36"/>
        </w:rPr>
      </w:pPr>
      <w:r>
        <w:rPr>
          <w:b/>
          <w:sz w:val="36"/>
        </w:rPr>
        <w:t xml:space="preserve">FORM </w:t>
      </w:r>
      <w:bookmarkStart w:id="4" w:name="xdx_908_edei--DocumentType_c20260521__20"/>
      <w:bookmarkEnd w:id="4"/>
      <w:r>
        <w:rPr>
          <w:b/>
          <w:sz w:val="36"/>
        </w:rPr>
        <w:t>8-K/A</w:t>
      </w:r>
    </w:p>
    <w:p>
      <w:pPr>
        <w:pStyle w:val="TextBody"/>
        <w:bidi w:val="0"/>
        <w:ind w:left="2" w:right="0" w:hanging="0"/>
        <w:jc w:val="center"/>
        <w:rPr>
          <w:b/>
          <w:sz w:val="20"/>
        </w:rPr>
      </w:pPr>
      <w:r>
        <w:rPr>
          <w:b/>
          <w:sz w:val="20"/>
        </w:rPr>
        <w:t>(Amendment No. 1)</w:t>
      </w:r>
    </w:p>
    <w:p>
      <w:pPr>
        <w:pStyle w:val="TextBody"/>
        <w:bidi w:val="0"/>
        <w:ind w:left="2" w:right="0" w:hanging="0"/>
        <w:jc w:val="left"/>
        <w:rPr/>
      </w:pPr>
      <w:r>
        <w:rPr/>
        <w:t> </w:t>
      </w:r>
    </w:p>
    <w:p>
      <w:pPr>
        <w:pStyle w:val="TextBody"/>
        <w:bidi w:val="0"/>
        <w:ind w:left="2" w:right="0" w:hanging="0"/>
        <w:jc w:val="center"/>
        <w:rPr>
          <w:b/>
          <w:sz w:val="20"/>
        </w:rPr>
      </w:pPr>
      <w:r>
        <w:rPr>
          <w:b/>
          <w:sz w:val="20"/>
        </w:rPr>
        <w:t>CURRENT REPORT</w:t>
      </w:r>
    </w:p>
    <w:p>
      <w:pPr>
        <w:pStyle w:val="TextBody"/>
        <w:bidi w:val="0"/>
        <w:ind w:left="2" w:right="0" w:hanging="0"/>
        <w:jc w:val="left"/>
        <w:rPr/>
      </w:pPr>
      <w:r>
        <w:rPr/>
        <w:t> </w:t>
      </w:r>
    </w:p>
    <w:p>
      <w:pPr>
        <w:pStyle w:val="TextBody"/>
        <w:bidi w:val="0"/>
        <w:ind w:left="2" w:right="0" w:hanging="0"/>
        <w:jc w:val="center"/>
        <w:rPr>
          <w:b/>
          <w:sz w:val="20"/>
        </w:rPr>
      </w:pPr>
      <w:r>
        <w:rPr>
          <w:b/>
          <w:sz w:val="20"/>
        </w:rPr>
        <w:t>Pursuant to Section 13 or 15(d) of the Securities Exchange Act of 1934</w:t>
      </w:r>
    </w:p>
    <w:p>
      <w:pPr>
        <w:pStyle w:val="TextBody"/>
        <w:bidi w:val="0"/>
        <w:ind w:left="2" w:right="0" w:hanging="0"/>
        <w:jc w:val="left"/>
        <w:rPr/>
      </w:pPr>
      <w:r>
        <w:rPr/>
        <w:t> </w:t>
      </w:r>
    </w:p>
    <w:p>
      <w:pPr>
        <w:pStyle w:val="TextBody"/>
        <w:bidi w:val="0"/>
        <w:ind w:left="2" w:right="0" w:hanging="0"/>
        <w:jc w:val="center"/>
        <w:rPr/>
      </w:pPr>
      <w:r>
        <w:rPr/>
        <w:t> </w:t>
      </w:r>
      <w:r>
        <w:rPr>
          <w:b/>
          <w:sz w:val="20"/>
        </w:rPr>
        <w:t xml:space="preserve">Date of Report (Date of earliest event reported): </w:t>
      </w:r>
      <w:bookmarkStart w:id="5" w:name="xdx_907_edei--DocumentPeriodEndDate_c202"/>
      <w:bookmarkEnd w:id="5"/>
      <w:r>
        <w:rPr>
          <w:b/>
          <w:sz w:val="20"/>
        </w:rPr>
        <w:t>May 21, 2026</w:t>
      </w:r>
    </w:p>
    <w:p>
      <w:pPr>
        <w:pStyle w:val="TextBody"/>
        <w:bidi w:val="0"/>
        <w:ind w:left="2" w:right="0" w:hanging="0"/>
        <w:jc w:val="left"/>
        <w:rPr/>
      </w:pPr>
      <w:r>
        <w:rPr/>
        <w:t> </w:t>
      </w:r>
    </w:p>
    <w:p>
      <w:pPr>
        <w:pStyle w:val="TextBody"/>
        <w:bidi w:val="0"/>
        <w:ind w:left="2" w:right="0" w:hanging="0"/>
        <w:jc w:val="center"/>
        <w:rPr>
          <w:b/>
          <w:sz w:val="48"/>
        </w:rPr>
      </w:pPr>
      <w:bookmarkStart w:id="6" w:name="xdx_90E_edei--EntityRegistrantName_c2026"/>
      <w:bookmarkEnd w:id="6"/>
      <w:r>
        <w:rPr>
          <w:b/>
          <w:sz w:val="48"/>
        </w:rPr>
        <w:t>AEBI SCHMIDT HOLDING AG</w:t>
      </w:r>
    </w:p>
    <w:p>
      <w:pPr>
        <w:pStyle w:val="TextBody"/>
        <w:bidi w:val="0"/>
        <w:ind w:left="2" w:right="0" w:hanging="0"/>
        <w:jc w:val="center"/>
        <w:rPr>
          <w:b/>
          <w:sz w:val="20"/>
        </w:rPr>
      </w:pPr>
      <w:r>
        <w:rPr>
          <w:b/>
          <w:sz w:val="20"/>
        </w:rPr>
        <w:t>(Exact Name of Registrant as Specified in Its Charter)</w:t>
      </w:r>
    </w:p>
    <w:p>
      <w:pPr>
        <w:pStyle w:val="TextBody"/>
        <w:bidi w:val="0"/>
        <w:ind w:left="2" w:right="0" w:hanging="0"/>
        <w:jc w:val="left"/>
        <w:rPr/>
      </w:pPr>
      <w:r>
        <w:rPr/>
        <w:t> </w:t>
      </w:r>
    </w:p>
    <w:tbl>
      <w:tblPr>
        <w:tblW w:w="8265" w:type="dxa"/>
        <w:jc w:val="left"/>
        <w:tblInd w:w="0" w:type="dxa"/>
        <w:tblLayout w:type="fixed"/>
        <w:tblCellMar>
          <w:top w:w="0" w:type="dxa"/>
          <w:left w:w="0" w:type="dxa"/>
          <w:bottom w:w="0" w:type="dxa"/>
          <w:right w:w="0" w:type="dxa"/>
        </w:tblCellMar>
      </w:tblPr>
      <w:tblGrid>
        <w:gridCol w:w="3635"/>
        <w:gridCol w:w="1850"/>
        <w:gridCol w:w="2780"/>
      </w:tblGrid>
      <w:tr>
        <w:trPr/>
        <w:tc>
          <w:tcPr>
            <w:tcW w:w="3635" w:type="dxa"/>
            <w:tcBorders/>
            <w:vAlign w:val="center"/>
          </w:tcPr>
          <w:p>
            <w:pPr>
              <w:pStyle w:val="TableContents"/>
              <w:bidi w:val="0"/>
              <w:spacing w:before="0" w:after="283"/>
              <w:jc w:val="center"/>
              <w:rPr>
                <w:b/>
                <w:sz w:val="20"/>
              </w:rPr>
            </w:pPr>
            <w:bookmarkStart w:id="7" w:name="xdx_908_edei--EntityIncorporationStateCo"/>
            <w:bookmarkEnd w:id="7"/>
            <w:r>
              <w:rPr>
                <w:b/>
                <w:sz w:val="20"/>
              </w:rPr>
              <w:t>Switzerland</w:t>
            </w:r>
          </w:p>
        </w:tc>
        <w:tc>
          <w:tcPr>
            <w:tcW w:w="1850" w:type="dxa"/>
            <w:tcBorders/>
            <w:vAlign w:val="center"/>
          </w:tcPr>
          <w:p>
            <w:pPr>
              <w:pStyle w:val="TableContents"/>
              <w:bidi w:val="0"/>
              <w:spacing w:before="0" w:after="283"/>
              <w:jc w:val="center"/>
              <w:rPr>
                <w:b/>
                <w:sz w:val="20"/>
              </w:rPr>
            </w:pPr>
            <w:bookmarkStart w:id="8" w:name="xdx_900_edei--EntityFileNumber_c20260521"/>
            <w:bookmarkEnd w:id="8"/>
            <w:r>
              <w:rPr>
                <w:b/>
                <w:sz w:val="20"/>
              </w:rPr>
              <w:t>001-42663</w:t>
            </w:r>
          </w:p>
        </w:tc>
        <w:tc>
          <w:tcPr>
            <w:tcW w:w="2780" w:type="dxa"/>
            <w:tcBorders/>
            <w:vAlign w:val="center"/>
          </w:tcPr>
          <w:p>
            <w:pPr>
              <w:pStyle w:val="TableContents"/>
              <w:bidi w:val="0"/>
              <w:spacing w:before="0" w:after="283"/>
              <w:jc w:val="center"/>
              <w:rPr>
                <w:b/>
                <w:sz w:val="20"/>
              </w:rPr>
            </w:pPr>
            <w:r>
              <w:rPr>
                <w:b/>
                <w:sz w:val="20"/>
              </w:rPr>
              <w:t>Not Applicable</w:t>
            </w:r>
          </w:p>
        </w:tc>
      </w:tr>
      <w:tr>
        <w:trPr/>
        <w:tc>
          <w:tcPr>
            <w:tcW w:w="3635" w:type="dxa"/>
            <w:tcBorders/>
            <w:vAlign w:val="center"/>
          </w:tcPr>
          <w:p>
            <w:pPr>
              <w:pStyle w:val="TableContents"/>
              <w:bidi w:val="0"/>
              <w:spacing w:before="0" w:after="283"/>
              <w:jc w:val="center"/>
              <w:rPr>
                <w:sz w:val="20"/>
              </w:rPr>
            </w:pPr>
            <w:r>
              <w:rPr>
                <w:sz w:val="20"/>
              </w:rPr>
              <w:t>(State or Other Jurisdiction of Incorporation)</w:t>
            </w:r>
          </w:p>
        </w:tc>
        <w:tc>
          <w:tcPr>
            <w:tcW w:w="1850" w:type="dxa"/>
            <w:tcBorders/>
            <w:vAlign w:val="center"/>
          </w:tcPr>
          <w:p>
            <w:pPr>
              <w:pStyle w:val="TableContents"/>
              <w:bidi w:val="0"/>
              <w:spacing w:before="0" w:after="283"/>
              <w:jc w:val="center"/>
              <w:rPr>
                <w:sz w:val="20"/>
              </w:rPr>
            </w:pPr>
            <w:r>
              <w:rPr>
                <w:sz w:val="20"/>
              </w:rPr>
              <w:t>(Commission File No.)</w:t>
            </w:r>
          </w:p>
        </w:tc>
        <w:tc>
          <w:tcPr>
            <w:tcW w:w="278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ind w:left="2" w:right="0" w:hanging="0"/>
        <w:jc w:val="left"/>
        <w:rPr/>
      </w:pPr>
      <w:r>
        <w:rPr/>
        <w:t> </w:t>
      </w:r>
    </w:p>
    <w:tbl>
      <w:tblPr>
        <w:tblW w:w="4255" w:type="dxa"/>
        <w:jc w:val="left"/>
        <w:tblInd w:w="0" w:type="dxa"/>
        <w:tblLayout w:type="fixed"/>
        <w:tblCellMar>
          <w:top w:w="0" w:type="dxa"/>
          <w:left w:w="0" w:type="dxa"/>
          <w:bottom w:w="0" w:type="dxa"/>
          <w:right w:w="0" w:type="dxa"/>
        </w:tblCellMar>
      </w:tblPr>
      <w:tblGrid>
        <w:gridCol w:w="3275"/>
        <w:gridCol w:w="60"/>
        <w:gridCol w:w="920"/>
      </w:tblGrid>
      <w:tr>
        <w:trPr/>
        <w:tc>
          <w:tcPr>
            <w:tcW w:w="3275" w:type="dxa"/>
            <w:tcBorders/>
            <w:vAlign w:val="center"/>
          </w:tcPr>
          <w:p>
            <w:pPr>
              <w:pStyle w:val="TableContents"/>
              <w:bidi w:val="0"/>
              <w:ind w:left="2" w:right="0" w:hanging="0"/>
              <w:jc w:val="center"/>
              <w:rPr>
                <w:b/>
                <w:sz w:val="20"/>
              </w:rPr>
            </w:pPr>
            <w:bookmarkStart w:id="9" w:name="xdx_900_edei--EntityAddressAddressLine1_"/>
            <w:bookmarkEnd w:id="9"/>
            <w:r>
              <w:rPr>
                <w:b/>
                <w:sz w:val="20"/>
              </w:rPr>
              <w:t>Schulstrasse 4</w:t>
            </w:r>
          </w:p>
          <w:p>
            <w:pPr>
              <w:pStyle w:val="TableContents"/>
              <w:bidi w:val="0"/>
              <w:spacing w:before="0" w:after="283"/>
              <w:ind w:left="2" w:right="0" w:hanging="0"/>
              <w:jc w:val="center"/>
              <w:rPr>
                <w:b/>
                <w:sz w:val="20"/>
              </w:rPr>
            </w:pPr>
            <w:bookmarkStart w:id="10" w:name="xdx_905_edei--EntityAddressCityOrTown_c2"/>
            <w:bookmarkEnd w:id="10"/>
            <w:r>
              <w:rPr>
                <w:b/>
                <w:sz w:val="20"/>
              </w:rPr>
              <w:t xml:space="preserve">Frauenfeld, </w:t>
            </w:r>
            <w:bookmarkStart w:id="11" w:name="xdx_90E_edei--EntityAddressCountry_c2026"/>
            <w:bookmarkEnd w:id="11"/>
            <w:r>
              <w:rPr>
                <w:b/>
                <w:sz w:val="20"/>
              </w:rPr>
              <w:t>Switzerland</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sz w:val="20"/>
              </w:rPr>
            </w:pPr>
            <w:bookmarkStart w:id="12" w:name="xdx_905_edei--EntityAddressPostalZipCode"/>
            <w:bookmarkEnd w:id="12"/>
            <w:r>
              <w:rPr>
                <w:b/>
                <w:sz w:val="20"/>
              </w:rPr>
              <w:t>CH-8500</w:t>
            </w:r>
          </w:p>
        </w:tc>
      </w:tr>
      <w:tr>
        <w:trPr/>
        <w:tc>
          <w:tcPr>
            <w:tcW w:w="327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ind w:left="2" w:right="0" w:hanging="0"/>
        <w:jc w:val="left"/>
        <w:rPr/>
      </w:pPr>
      <w:r>
        <w:rPr/>
        <w:t> </w:t>
      </w:r>
    </w:p>
    <w:p>
      <w:pPr>
        <w:pStyle w:val="TextBody"/>
        <w:bidi w:val="0"/>
        <w:ind w:left="2" w:right="0" w:hanging="0"/>
        <w:jc w:val="center"/>
        <w:rPr>
          <w:b/>
          <w:sz w:val="20"/>
        </w:rPr>
      </w:pPr>
      <w:bookmarkStart w:id="13" w:name="xdx_90F_edei--CityAreaCode_c20260521__20"/>
      <w:bookmarkEnd w:id="13"/>
      <w:r>
        <w:rPr>
          <w:b/>
          <w:sz w:val="20"/>
        </w:rPr>
        <w:t xml:space="preserve">+41 </w:t>
      </w:r>
      <w:bookmarkStart w:id="14" w:name="xdx_90B_edei--LocalPhoneNumber_c20260521"/>
      <w:bookmarkEnd w:id="14"/>
      <w:r>
        <w:rPr>
          <w:b/>
          <w:sz w:val="20"/>
        </w:rPr>
        <w:t>44-308-5800</w:t>
      </w:r>
    </w:p>
    <w:p>
      <w:pPr>
        <w:pStyle w:val="TextBody"/>
        <w:bidi w:val="0"/>
        <w:ind w:left="2" w:right="0" w:hanging="0"/>
        <w:jc w:val="center"/>
        <w:rPr>
          <w:sz w:val="20"/>
        </w:rPr>
      </w:pPr>
      <w:r>
        <w:rPr>
          <w:sz w:val="20"/>
        </w:rPr>
        <w:t>(Registrant’s Telephone Number, Including Area Code)</w:t>
      </w:r>
    </w:p>
    <w:p>
      <w:pPr>
        <w:pStyle w:val="TextBody"/>
        <w:bidi w:val="0"/>
        <w:ind w:left="2" w:right="0" w:hanging="0"/>
        <w:jc w:val="left"/>
        <w:rPr/>
      </w:pPr>
      <w:r>
        <w:rPr/>
        <w:t> </w:t>
      </w:r>
    </w:p>
    <w:p>
      <w:pPr>
        <w:pStyle w:val="TextBody"/>
        <w:bidi w:val="0"/>
        <w:ind w:left="2" w:right="0" w:hanging="0"/>
        <w:jc w:val="center"/>
        <w:rPr>
          <w:b/>
          <w:sz w:val="20"/>
        </w:rPr>
      </w:pPr>
      <w:r>
        <w:rPr>
          <w:b/>
          <w:sz w:val="20"/>
        </w:rPr>
        <w:t>Not Applicable</w:t>
      </w:r>
    </w:p>
    <w:p>
      <w:pPr>
        <w:pStyle w:val="TextBody"/>
        <w:bidi w:val="0"/>
        <w:ind w:left="2" w:right="0" w:hanging="0"/>
        <w:jc w:val="center"/>
        <w:rPr>
          <w:sz w:val="20"/>
        </w:rPr>
      </w:pPr>
      <w:r>
        <w:rPr>
          <w:sz w:val="20"/>
        </w:rPr>
        <w:t>(Former Name or Former Address, if Changed Since Last Report)</w:t>
      </w:r>
    </w:p>
    <w:p>
      <w:pPr>
        <w:pStyle w:val="TextBody"/>
        <w:bidi w:val="0"/>
        <w:ind w:left="2" w:right="0" w:hanging="0"/>
        <w:jc w:val="left"/>
        <w:rPr/>
      </w:pPr>
      <w:r>
        <w:rPr/>
        <w:t> </w:t>
      </w:r>
    </w:p>
    <w:p>
      <w:pPr>
        <w:pStyle w:val="TextBody"/>
        <w:bidi w:val="0"/>
        <w:ind w:left="2" w:right="0" w:hanging="0"/>
        <w:jc w:val="both"/>
        <w:rPr>
          <w:sz w:val="20"/>
        </w:rPr>
      </w:pPr>
      <w:r>
        <w:rPr>
          <w:sz w:val="20"/>
        </w:rPr>
        <w:t>Check the appropriate box below if the Form 8-K filing is intended to simultaneously satisfy the filing obligation of the registrant under any of the following provisions:</w:t>
      </w:r>
    </w:p>
    <w:p>
      <w:pPr>
        <w:pStyle w:val="TextBody"/>
        <w:bidi w:val="0"/>
        <w:ind w:left="2" w:right="0" w:hanging="0"/>
        <w:jc w:val="left"/>
        <w:rPr/>
      </w:pPr>
      <w:r>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1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ind w:left="2" w:right="0" w:hanging="0"/>
        <w:jc w:val="left"/>
        <w:rPr/>
      </w:pPr>
      <w:r>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1_edei--SolicitingMaterial_c202605"/>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ind w:left="2"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9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ind w:left="2"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A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ind w:left="2" w:right="0" w:hanging="0"/>
        <w:jc w:val="left"/>
        <w:rPr/>
      </w:pPr>
      <w:r>
        <w:rPr/>
        <w:t> </w:t>
      </w:r>
    </w:p>
    <w:p>
      <w:pPr>
        <w:pStyle w:val="TextBody"/>
        <w:bidi w:val="0"/>
        <w:ind w:left="2" w:right="0" w:hanging="0"/>
        <w:jc w:val="both"/>
        <w:rPr>
          <w:b/>
          <w:sz w:val="20"/>
        </w:rPr>
      </w:pPr>
      <w:r>
        <w:rPr>
          <w:b/>
          <w:sz w:val="20"/>
        </w:rPr>
        <w:t>Securities registered pursuant to Section 12(b) of the Act:</w:t>
      </w:r>
    </w:p>
    <w:p>
      <w:pPr>
        <w:pStyle w:val="TextBody"/>
        <w:bidi w:val="0"/>
        <w:ind w:left="2" w:right="0" w:hanging="0"/>
        <w:jc w:val="left"/>
        <w:rPr/>
      </w:pPr>
      <w:r>
        <w:rPr/>
        <w:t> </w:t>
      </w:r>
    </w:p>
    <w:tbl>
      <w:tblPr>
        <w:tblW w:w="6225" w:type="dxa"/>
        <w:jc w:val="left"/>
        <w:tblInd w:w="0" w:type="dxa"/>
        <w:tblLayout w:type="fixed"/>
        <w:tblCellMar>
          <w:top w:w="0" w:type="dxa"/>
          <w:left w:w="0" w:type="dxa"/>
          <w:bottom w:w="28" w:type="dxa"/>
          <w:right w:w="0" w:type="dxa"/>
        </w:tblCellMar>
      </w:tblPr>
      <w:tblGrid>
        <w:gridCol w:w="1535"/>
        <w:gridCol w:w="60"/>
        <w:gridCol w:w="860"/>
        <w:gridCol w:w="60"/>
        <w:gridCol w:w="3710"/>
      </w:tblGrid>
      <w:tr>
        <w:trPr/>
        <w:tc>
          <w:tcPr>
            <w:tcW w:w="1535" w:type="dxa"/>
            <w:tcBorders>
              <w:bottom w:val="single" w:sz="8" w:space="0" w:color="000000"/>
            </w:tcBorders>
            <w:vAlign w:val="center"/>
          </w:tcPr>
          <w:p>
            <w:pPr>
              <w:pStyle w:val="TableContents"/>
              <w:bidi w:val="0"/>
              <w:ind w:left="2" w:right="0" w:hanging="0"/>
              <w:jc w:val="left"/>
              <w:rPr/>
            </w:pPr>
            <w:r>
              <w:rPr/>
              <w:t> </w:t>
            </w:r>
          </w:p>
          <w:p>
            <w:pPr>
              <w:pStyle w:val="TableContents"/>
              <w:bidi w:val="0"/>
              <w:spacing w:before="0" w:after="283"/>
              <w:ind w:left="2" w:right="0" w:hanging="0"/>
              <w:jc w:val="both"/>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ind w:left="2" w:right="0" w:hanging="0"/>
              <w:jc w:val="both"/>
              <w:rPr>
                <w:b/>
                <w:sz w:val="20"/>
              </w:rPr>
            </w:pPr>
            <w:r>
              <w:rPr>
                <w:b/>
                <w:sz w:val="20"/>
              </w:rPr>
              <w:t>Trading</w:t>
            </w:r>
          </w:p>
          <w:p>
            <w:pPr>
              <w:pStyle w:val="TableContents"/>
              <w:bidi w:val="0"/>
              <w:spacing w:before="0" w:after="283"/>
              <w:ind w:left="2" w:right="0" w:hanging="0"/>
              <w:jc w:val="both"/>
              <w:rPr>
                <w:b/>
                <w:sz w:val="20"/>
              </w:rPr>
            </w:pPr>
            <w:r>
              <w:rPr>
                <w:b/>
                <w:sz w:val="20"/>
              </w:rPr>
              <w:t>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ind w:left="2" w:right="0" w:hanging="0"/>
              <w:jc w:val="left"/>
              <w:rPr/>
            </w:pPr>
            <w:r>
              <w:rPr/>
              <w:t> </w:t>
            </w:r>
          </w:p>
          <w:p>
            <w:pPr>
              <w:pStyle w:val="TableContents"/>
              <w:bidi w:val="0"/>
              <w:spacing w:before="0" w:after="283"/>
              <w:ind w:left="2" w:right="0" w:hanging="0"/>
              <w:jc w:val="both"/>
              <w:rPr>
                <w:b/>
                <w:sz w:val="20"/>
              </w:rPr>
            </w:pPr>
            <w:r>
              <w:rPr>
                <w:b/>
                <w:sz w:val="20"/>
              </w:rPr>
              <w:t>Name of each exchange on which registered</w:t>
            </w:r>
          </w:p>
        </w:tc>
      </w:tr>
      <w:tr>
        <w:trPr/>
        <w:tc>
          <w:tcPr>
            <w:tcW w:w="1535" w:type="dxa"/>
            <w:tcBorders/>
            <w:tcMar>
              <w:bottom w:w="0" w:type="dxa"/>
            </w:tcMar>
            <w:vAlign w:val="center"/>
          </w:tcPr>
          <w:p>
            <w:pPr>
              <w:pStyle w:val="TableContents"/>
              <w:bidi w:val="0"/>
              <w:spacing w:before="0" w:after="283"/>
              <w:jc w:val="both"/>
              <w:rPr>
                <w:sz w:val="20"/>
              </w:rPr>
            </w:pPr>
            <w:bookmarkStart w:id="19" w:name="xdx_906_edei--Security12bTitle_c20260521"/>
            <w:bookmarkEnd w:id="19"/>
            <w:r>
              <w:rPr>
                <w:sz w:val="20"/>
              </w:rPr>
              <w:t>Common Stock</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both"/>
              <w:rPr>
                <w:sz w:val="20"/>
              </w:rPr>
            </w:pPr>
            <w:bookmarkStart w:id="20" w:name="xdx_90B_edei--TradingSymbol_c20260521__2"/>
            <w:bookmarkEnd w:id="20"/>
            <w:r>
              <w:rPr>
                <w:sz w:val="20"/>
              </w:rPr>
              <w:t>AEBI</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both"/>
              <w:rPr>
                <w:sz w:val="20"/>
              </w:rPr>
            </w:pPr>
            <w:bookmarkStart w:id="21" w:name="xdx_90B_edei--SecurityExchangeName_c2026"/>
            <w:bookmarkEnd w:id="21"/>
            <w:r>
              <w:rPr>
                <w:sz w:val="20"/>
              </w:rPr>
              <w:t>The NASDAQ Stock Market LLC</w:t>
            </w:r>
          </w:p>
        </w:tc>
      </w:tr>
    </w:tbl>
    <w:p>
      <w:pPr>
        <w:pStyle w:val="TextBody"/>
        <w:bidi w:val="0"/>
        <w:ind w:left="2" w:right="0" w:hanging="0"/>
        <w:jc w:val="left"/>
        <w:rPr/>
      </w:pPr>
      <w:r>
        <w:rPr/>
        <w:t> </w:t>
      </w:r>
    </w:p>
    <w:p>
      <w:pPr>
        <w:pStyle w:val="TextBody"/>
        <w:bidi w:val="0"/>
        <w:ind w:left="2" w:right="0" w:hanging="0"/>
        <w:jc w:val="both"/>
        <w:rPr>
          <w:sz w:val="20"/>
        </w:rPr>
      </w:pPr>
      <w:r>
        <w:rPr>
          <w:sz w:val="20"/>
        </w:rPr>
        <w:t xml:space="preserve">Indicate by check mark whether the registrant is an emerging growth company as defined in Rule 405 of the Securities Act of 1933 (§ 230.405  of this chapter) or Rule 12b-2 of the Securities Exchange Act of 1934 (§ 240.12b-2 of this chapter). Emerging growth company </w:t>
      </w:r>
      <w:bookmarkStart w:id="22" w:name="xdx_909_edei--EntityEmergingGrowthCompan"/>
      <w:bookmarkEnd w:id="22"/>
      <w:r>
        <w:rPr>
          <w:sz w:val="20"/>
        </w:rPr>
        <w:t>☐</w:t>
      </w:r>
    </w:p>
    <w:p>
      <w:pPr>
        <w:pStyle w:val="TextBody"/>
        <w:bidi w:val="0"/>
        <w:ind w:left="2" w:right="0" w:hanging="0"/>
        <w:jc w:val="left"/>
        <w:rPr/>
      </w:pPr>
      <w:r>
        <w:rPr/>
        <w:t> </w:t>
      </w:r>
    </w:p>
    <w:p>
      <w:pPr>
        <w:pStyle w:val="TextBody"/>
        <w:bidi w:val="0"/>
        <w:ind w:left="2" w:right="0" w:hanging="0"/>
        <w:jc w:val="both"/>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ind w:left="2"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ind w:left="2" w:right="0" w:hanging="0"/>
        <w:jc w:val="center"/>
        <w:rPr/>
      </w:pPr>
      <w:r>
        <w:rPr/>
        <w:t> </w:t>
      </w:r>
    </w:p>
    <w:p>
      <w:pPr>
        <w:pStyle w:val="TextBody"/>
        <w:bidi w:val="0"/>
        <w:ind w:left="2" w:right="0" w:hanging="0"/>
        <w:jc w:val="center"/>
        <w:rPr>
          <w:b/>
          <w:sz w:val="20"/>
        </w:rPr>
      </w:pPr>
      <w:r>
        <w:rPr>
          <w:b/>
          <w:sz w:val="20"/>
        </w:rPr>
        <w:t>EXPLANATORY NOTE</w:t>
      </w:r>
    </w:p>
    <w:p>
      <w:pPr>
        <w:pStyle w:val="TextBody"/>
        <w:bidi w:val="0"/>
        <w:ind w:left="2" w:right="0" w:hanging="0"/>
        <w:jc w:val="center"/>
        <w:rPr/>
      </w:pPr>
      <w:r>
        <w:rPr/>
        <w:t> </w:t>
      </w:r>
    </w:p>
    <w:p>
      <w:pPr>
        <w:pStyle w:val="TextBody"/>
        <w:bidi w:val="0"/>
        <w:ind w:left="2" w:right="0" w:hanging="0"/>
        <w:jc w:val="left"/>
        <w:rPr>
          <w:sz w:val="20"/>
        </w:rPr>
      </w:pPr>
      <w:bookmarkStart w:id="23" w:name="xdx_904_edei--AmendmentDescription_c2026"/>
      <w:bookmarkEnd w:id="23"/>
      <w:r>
        <w:rPr>
          <w:sz w:val="20"/>
        </w:rPr>
        <w:t>Pursuant to Item 5.07(d) of Form 8-K, Aebi Schmidt Holding AG (the “Company”) is filing this Amendment No. 1 (this “Amendment”) to its Current Report on Form 8-K originally filed on May 21, 2026 (the “Initial Form 8-K”). The Initial Form 8-K reported the voting results from the Company’s Annual General Meeting of Shareholders held on May 21, 2026 (the “Annual Meeting”). The sole purpose of this Amendment is to update the disclosure under “Item 5.07 Submission of Matters to a Vote of Security Holders” to disclose the Company’s determination as to the frequency of future non-binding advisory votes on the compensation of the Company’s named executive officers. Except for the foregoing, this Amendment does not modify or update any other disclosure contained in the Initial Form 8-K.</w:t>
      </w:r>
    </w:p>
    <w:p>
      <w:pPr>
        <w:pStyle w:val="TextBody"/>
        <w:bidi w:val="0"/>
        <w:ind w:left="2" w:right="0" w:hanging="0"/>
        <w:jc w:val="left"/>
        <w:rPr/>
      </w:pPr>
      <w:r>
        <w:rPr/>
        <w:t> </w:t>
      </w:r>
    </w:p>
    <w:tbl>
      <w:tblPr>
        <w:tblW w:w="7015" w:type="dxa"/>
        <w:jc w:val="left"/>
        <w:tblInd w:w="0" w:type="dxa"/>
        <w:tblLayout w:type="fixed"/>
        <w:tblCellMar>
          <w:top w:w="0" w:type="dxa"/>
          <w:left w:w="0" w:type="dxa"/>
          <w:bottom w:w="0" w:type="dxa"/>
          <w:right w:w="0" w:type="dxa"/>
        </w:tblCellMar>
      </w:tblPr>
      <w:tblGrid>
        <w:gridCol w:w="965"/>
        <w:gridCol w:w="6050"/>
      </w:tblGrid>
      <w:tr>
        <w:trPr/>
        <w:tc>
          <w:tcPr>
            <w:tcW w:w="965" w:type="dxa"/>
            <w:tcBorders/>
            <w:vAlign w:val="center"/>
          </w:tcPr>
          <w:p>
            <w:pPr>
              <w:pStyle w:val="TableContents"/>
              <w:bidi w:val="0"/>
              <w:spacing w:before="0" w:after="283"/>
              <w:jc w:val="left"/>
              <w:rPr>
                <w:b/>
                <w:sz w:val="20"/>
              </w:rPr>
            </w:pPr>
            <w:r>
              <w:rPr>
                <w:b/>
                <w:sz w:val="20"/>
              </w:rPr>
              <w:t>ITEM 5.07</w:t>
            </w:r>
          </w:p>
        </w:tc>
        <w:tc>
          <w:tcPr>
            <w:tcW w:w="6050" w:type="dxa"/>
            <w:tcBorders/>
            <w:vAlign w:val="center"/>
          </w:tcPr>
          <w:p>
            <w:pPr>
              <w:pStyle w:val="TableContents"/>
              <w:bidi w:val="0"/>
              <w:spacing w:before="0" w:after="283"/>
              <w:jc w:val="left"/>
              <w:rPr>
                <w:b/>
                <w:sz w:val="20"/>
              </w:rPr>
            </w:pPr>
            <w:r>
              <w:rPr>
                <w:b/>
                <w:sz w:val="20"/>
              </w:rPr>
              <w:t>SUBMISSION OF MATTERS TO A VOTE OF SECURITY HOLDERS.</w:t>
            </w:r>
          </w:p>
        </w:tc>
      </w:tr>
    </w:tbl>
    <w:p>
      <w:pPr>
        <w:pStyle w:val="TextBody"/>
        <w:bidi w:val="0"/>
        <w:ind w:left="2" w:right="0" w:hanging="0"/>
        <w:jc w:val="both"/>
        <w:rPr/>
      </w:pPr>
      <w:r>
        <w:rPr/>
        <w:t> </w:t>
      </w:r>
    </w:p>
    <w:p>
      <w:pPr>
        <w:pStyle w:val="TextBody"/>
        <w:bidi w:val="0"/>
        <w:ind w:left="2" w:right="0" w:hanging="0"/>
        <w:jc w:val="both"/>
        <w:rPr>
          <w:sz w:val="20"/>
        </w:rPr>
      </w:pPr>
      <w:r>
        <w:rPr>
          <w:sz w:val="20"/>
        </w:rPr>
        <w:t>At the Annual Meeting, the Company’s shareholders voted, on a non-binding advisory basis, on the frequency of future non-binding advisory votes to approve the compensation of the Company’s named executive officers (the “Say-on-Frequency Proposal”). As reported in the Initial Form 8-K, the option of “1 Year” received the highest number of votes cast by shareholders on the Say-on-Frequency Proposal. Based on the results of the non-binding advisory vote on the Say-on-Frequency Proposal, and consistent with the Board of Directors’ (the “Board”) recommendation, the Board has determined that the Company will hold a non-binding advisory vote on the compensation of the Company’s named executive officers every year until the next required shareholder vote on the frequency of non-binding advisory votes on the compensation of the Company’s named executive officers, which is required to occur no later than the Company’s annual meeting of shareholders in 2032.</w:t>
      </w:r>
    </w:p>
    <w:p>
      <w:pPr>
        <w:pStyle w:val="TextBody"/>
        <w:bidi w:val="0"/>
        <w:ind w:left="2" w:right="0" w:hanging="0"/>
        <w:jc w:val="left"/>
        <w:rPr/>
      </w:pPr>
      <w:r>
        <w:rPr/>
        <w:t> </w:t>
      </w:r>
    </w:p>
    <w:p>
      <w:pPr>
        <w:pStyle w:val="TextBody"/>
        <w:bidi w:val="0"/>
        <w:ind w:left="2" w:right="0" w:hanging="0"/>
        <w:jc w:val="left"/>
        <w:rPr/>
      </w:pPr>
      <w:r>
        <w:rPr/>
        <w:t> </w:t>
      </w:r>
    </w:p>
    <w:p>
      <w:pPr>
        <w:pStyle w:val="TextBody"/>
        <w:bidi w:val="0"/>
        <w:ind w:left="2" w:right="0" w:hanging="0"/>
        <w:jc w:val="left"/>
        <w:rPr/>
      </w:pPr>
      <w:r>
        <w:rPr/>
        <w:t> </w:t>
      </w:r>
    </w:p>
    <w:p>
      <w:pPr>
        <w:pStyle w:val="TextBody"/>
        <w:bidi w:val="0"/>
        <w:ind w:left="2" w:right="0" w:hanging="0"/>
        <w:jc w:val="left"/>
        <w:rPr/>
      </w:pPr>
      <w:r>
        <w:rPr/>
        <w:t> </w:t>
      </w:r>
    </w:p>
    <w:p>
      <w:pPr>
        <w:pStyle w:val="TextBody"/>
        <w:bidi w:val="0"/>
        <w:ind w:left="2" w:right="0" w:hanging="0"/>
        <w:jc w:val="left"/>
        <w:rPr/>
      </w:pPr>
      <w:r>
        <w:rPr/>
        <w:t> </w:t>
      </w:r>
    </w:p>
    <w:p>
      <w:pPr>
        <w:pStyle w:val="TextBody"/>
        <w:bidi w:val="0"/>
        <w:ind w:left="2" w:right="0" w:hanging="0"/>
        <w:jc w:val="left"/>
        <w:rPr/>
      </w:pPr>
      <w:r>
        <w:rPr/>
        <w:t> </w:t>
      </w:r>
    </w:p>
    <w:p>
      <w:pPr>
        <w:pStyle w:val="TextBody"/>
        <w:bidi w:val="0"/>
        <w:ind w:left="2" w:right="0" w:hanging="0"/>
        <w:jc w:val="left"/>
        <w:rPr/>
      </w:pPr>
      <w:r>
        <w:rPr/>
        <w:t> </w:t>
      </w:r>
    </w:p>
    <w:p>
      <w:pPr>
        <w:pStyle w:val="TextBody"/>
        <w:bidi w:val="0"/>
        <w:ind w:left="2"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r>
        <w:rPr/>
        <w:t> </w:t>
      </w:r>
    </w:p>
    <w:p>
      <w:pPr>
        <w:pStyle w:val="TextBody"/>
        <w:bidi w:val="0"/>
        <w:ind w:left="2" w:right="0" w:hanging="0"/>
        <w:jc w:val="left"/>
        <w:rPr/>
      </w:pPr>
      <w:r>
        <w:rPr/>
        <w:t> </w:t>
      </w:r>
    </w:p>
    <w:p>
      <w:pPr>
        <w:pStyle w:val="TextBody"/>
        <w:bidi w:val="0"/>
        <w:ind w:left="2" w:right="0" w:hanging="0"/>
        <w:jc w:val="both"/>
        <w:rPr>
          <w:b/>
          <w:sz w:val="20"/>
        </w:rPr>
      </w:pPr>
      <w:r>
        <w:rPr>
          <w:b/>
          <w:sz w:val="20"/>
        </w:rPr>
        <w:t>SIGNATURES</w:t>
      </w:r>
    </w:p>
    <w:p>
      <w:pPr>
        <w:pStyle w:val="TextBody"/>
        <w:bidi w:val="0"/>
        <w:ind w:left="2" w:right="0" w:hanging="0"/>
        <w:jc w:val="left"/>
        <w:rPr/>
      </w:pPr>
      <w:r>
        <w:rPr/>
        <w:t> </w:t>
      </w:r>
    </w:p>
    <w:p>
      <w:pPr>
        <w:pStyle w:val="TextBody"/>
        <w:bidi w:val="0"/>
        <w:ind w:left="2" w:right="0" w:hanging="0"/>
        <w:jc w:val="both"/>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ind w:left="2" w:right="0" w:hanging="0"/>
        <w:jc w:val="left"/>
        <w:rPr/>
      </w:pPr>
      <w:r>
        <w:rPr/>
        <w:t> </w:t>
      </w:r>
    </w:p>
    <w:tbl>
      <w:tblPr>
        <w:tblW w:w="4974" w:type="dxa"/>
        <w:jc w:val="left"/>
        <w:tblInd w:w="0" w:type="dxa"/>
        <w:tblLayout w:type="fixed"/>
        <w:tblCellMar>
          <w:top w:w="0" w:type="dxa"/>
          <w:left w:w="0" w:type="dxa"/>
          <w:bottom w:w="0" w:type="dxa"/>
          <w:right w:w="0" w:type="dxa"/>
        </w:tblCellMar>
      </w:tblPr>
      <w:tblGrid>
        <w:gridCol w:w="2195"/>
        <w:gridCol w:w="698"/>
        <w:gridCol w:w="2081"/>
      </w:tblGrid>
      <w:tr>
        <w:trPr/>
        <w:tc>
          <w:tcPr>
            <w:tcW w:w="2195" w:type="dxa"/>
            <w:tcBorders/>
            <w:vAlign w:val="center"/>
          </w:tcPr>
          <w:p>
            <w:pPr>
              <w:pStyle w:val="TableContents"/>
              <w:bidi w:val="0"/>
              <w:spacing w:before="0" w:after="283"/>
              <w:jc w:val="left"/>
              <w:rPr/>
            </w:pPr>
            <w:r>
              <w:rPr/>
              <w:t> </w:t>
            </w:r>
          </w:p>
        </w:tc>
        <w:tc>
          <w:tcPr>
            <w:tcW w:w="2779" w:type="dxa"/>
            <w:gridSpan w:val="2"/>
            <w:tcBorders/>
            <w:vAlign w:val="center"/>
          </w:tcPr>
          <w:p>
            <w:pPr>
              <w:pStyle w:val="TableContents"/>
              <w:bidi w:val="0"/>
              <w:spacing w:before="0" w:after="283"/>
              <w:jc w:val="both"/>
              <w:rPr>
                <w:b/>
                <w:sz w:val="20"/>
              </w:rPr>
            </w:pPr>
            <w:r>
              <w:rPr>
                <w:b/>
                <w:sz w:val="20"/>
              </w:rPr>
              <w:t>AEBI SCHMIDT HOLDING AG</w:t>
            </w:r>
          </w:p>
        </w:tc>
      </w:tr>
      <w:tr>
        <w:trPr/>
        <w:tc>
          <w:tcPr>
            <w:tcW w:w="2195"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left"/>
              <w:rPr/>
            </w:pPr>
            <w:r>
              <w:rPr/>
              <w:t> </w:t>
            </w:r>
          </w:p>
        </w:tc>
        <w:tc>
          <w:tcPr>
            <w:tcW w:w="2081"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r>
              <w:rPr>
                <w:sz w:val="20"/>
              </w:rPr>
              <w:t>Date: September 25, 2026</w:t>
            </w:r>
          </w:p>
        </w:tc>
        <w:tc>
          <w:tcPr>
            <w:tcW w:w="698" w:type="dxa"/>
            <w:tcBorders/>
            <w:vAlign w:val="center"/>
          </w:tcPr>
          <w:p>
            <w:pPr>
              <w:pStyle w:val="TableContents"/>
              <w:bidi w:val="0"/>
              <w:spacing w:before="0" w:after="283"/>
              <w:jc w:val="both"/>
              <w:rPr>
                <w:sz w:val="20"/>
              </w:rPr>
            </w:pPr>
            <w:r>
              <w:rPr>
                <w:sz w:val="20"/>
              </w:rPr>
              <w:t>By:</w:t>
            </w:r>
          </w:p>
        </w:tc>
        <w:tc>
          <w:tcPr>
            <w:tcW w:w="2081" w:type="dxa"/>
            <w:tcBorders/>
            <w:vAlign w:val="center"/>
          </w:tcPr>
          <w:p>
            <w:pPr>
              <w:pStyle w:val="TableContents"/>
              <w:bidi w:val="0"/>
              <w:spacing w:before="0" w:after="283"/>
              <w:jc w:val="both"/>
              <w:rPr>
                <w:sz w:val="20"/>
                <w:u w:val="single"/>
              </w:rPr>
            </w:pPr>
            <w:r>
              <w:rPr>
                <w:sz w:val="20"/>
                <w:u w:val="single"/>
              </w:rPr>
              <w:t>/s/ Barend Fruithof</w:t>
            </w:r>
          </w:p>
        </w:tc>
      </w:tr>
      <w:tr>
        <w:trPr/>
        <w:tc>
          <w:tcPr>
            <w:tcW w:w="2195"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both"/>
              <w:rPr>
                <w:sz w:val="20"/>
              </w:rPr>
            </w:pPr>
            <w:r>
              <w:rPr>
                <w:sz w:val="20"/>
              </w:rPr>
              <w:t>Name:</w:t>
            </w:r>
          </w:p>
        </w:tc>
        <w:tc>
          <w:tcPr>
            <w:tcW w:w="2081" w:type="dxa"/>
            <w:tcBorders/>
            <w:vAlign w:val="center"/>
          </w:tcPr>
          <w:p>
            <w:pPr>
              <w:pStyle w:val="TableContents"/>
              <w:bidi w:val="0"/>
              <w:spacing w:before="0" w:after="283"/>
              <w:jc w:val="both"/>
              <w:rPr>
                <w:sz w:val="20"/>
              </w:rPr>
            </w:pPr>
            <w:r>
              <w:rPr>
                <w:sz w:val="20"/>
              </w:rPr>
              <w:t>Barend Fruithof</w:t>
            </w:r>
          </w:p>
        </w:tc>
      </w:tr>
      <w:tr>
        <w:trPr/>
        <w:tc>
          <w:tcPr>
            <w:tcW w:w="2195"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both"/>
              <w:rPr>
                <w:sz w:val="20"/>
              </w:rPr>
            </w:pPr>
            <w:r>
              <w:rPr>
                <w:sz w:val="20"/>
              </w:rPr>
              <w:t>Title:</w:t>
            </w:r>
          </w:p>
        </w:tc>
        <w:tc>
          <w:tcPr>
            <w:tcW w:w="2081" w:type="dxa"/>
            <w:tcBorders/>
            <w:vAlign w:val="center"/>
          </w:tcPr>
          <w:p>
            <w:pPr>
              <w:pStyle w:val="TableContents"/>
              <w:bidi w:val="0"/>
              <w:spacing w:before="0" w:after="283"/>
              <w:jc w:val="both"/>
              <w:rPr>
                <w:sz w:val="20"/>
              </w:rPr>
            </w:pPr>
            <w:r>
              <w:rPr>
                <w:sz w:val="20"/>
              </w:rPr>
              <w:t>Group CEO</w:t>
            </w:r>
          </w:p>
        </w:tc>
      </w:tr>
      <w:tr>
        <w:trPr/>
        <w:tc>
          <w:tcPr>
            <w:tcW w:w="2195"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left"/>
              <w:rPr/>
            </w:pPr>
            <w:r>
              <w:rPr/>
              <w:t> </w:t>
            </w:r>
          </w:p>
        </w:tc>
        <w:tc>
          <w:tcPr>
            <w:tcW w:w="2081"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r>
              <w:rPr>
                <w:sz w:val="20"/>
              </w:rPr>
              <w:t>Date: September 25, 2026</w:t>
            </w:r>
          </w:p>
        </w:tc>
        <w:tc>
          <w:tcPr>
            <w:tcW w:w="698" w:type="dxa"/>
            <w:tcBorders/>
            <w:vAlign w:val="center"/>
          </w:tcPr>
          <w:p>
            <w:pPr>
              <w:pStyle w:val="TableContents"/>
              <w:bidi w:val="0"/>
              <w:spacing w:before="0" w:after="283"/>
              <w:jc w:val="both"/>
              <w:rPr>
                <w:sz w:val="20"/>
              </w:rPr>
            </w:pPr>
            <w:r>
              <w:rPr>
                <w:sz w:val="20"/>
              </w:rPr>
              <w:t>By:</w:t>
            </w:r>
          </w:p>
        </w:tc>
        <w:tc>
          <w:tcPr>
            <w:tcW w:w="2081" w:type="dxa"/>
            <w:tcBorders/>
            <w:vAlign w:val="center"/>
          </w:tcPr>
          <w:p>
            <w:pPr>
              <w:pStyle w:val="TableContents"/>
              <w:bidi w:val="0"/>
              <w:spacing w:before="0" w:after="283"/>
              <w:jc w:val="both"/>
              <w:rPr>
                <w:sz w:val="20"/>
                <w:u w:val="single"/>
              </w:rPr>
            </w:pPr>
            <w:r>
              <w:rPr>
                <w:sz w:val="20"/>
                <w:u w:val="single"/>
              </w:rPr>
              <w:t>/s/ Marco Portmann</w:t>
            </w:r>
          </w:p>
        </w:tc>
      </w:tr>
      <w:tr>
        <w:trPr/>
        <w:tc>
          <w:tcPr>
            <w:tcW w:w="2195"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both"/>
              <w:rPr>
                <w:sz w:val="20"/>
              </w:rPr>
            </w:pPr>
            <w:r>
              <w:rPr>
                <w:sz w:val="20"/>
              </w:rPr>
              <w:t>Name:</w:t>
            </w:r>
          </w:p>
        </w:tc>
        <w:tc>
          <w:tcPr>
            <w:tcW w:w="2081" w:type="dxa"/>
            <w:tcBorders/>
            <w:vAlign w:val="center"/>
          </w:tcPr>
          <w:p>
            <w:pPr>
              <w:pStyle w:val="TableContents"/>
              <w:bidi w:val="0"/>
              <w:spacing w:before="0" w:after="283"/>
              <w:jc w:val="both"/>
              <w:rPr>
                <w:sz w:val="20"/>
              </w:rPr>
            </w:pPr>
            <w:r>
              <w:rPr>
                <w:sz w:val="20"/>
              </w:rPr>
              <w:t>Marco Portmann</w:t>
            </w:r>
          </w:p>
        </w:tc>
      </w:tr>
      <w:tr>
        <w:trPr/>
        <w:tc>
          <w:tcPr>
            <w:tcW w:w="2195"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both"/>
              <w:rPr>
                <w:sz w:val="20"/>
              </w:rPr>
            </w:pPr>
            <w:r>
              <w:rPr>
                <w:sz w:val="20"/>
              </w:rPr>
              <w:t>Title:</w:t>
            </w:r>
          </w:p>
        </w:tc>
        <w:tc>
          <w:tcPr>
            <w:tcW w:w="2081" w:type="dxa"/>
            <w:tcBorders/>
            <w:vAlign w:val="center"/>
          </w:tcPr>
          <w:p>
            <w:pPr>
              <w:pStyle w:val="TableContents"/>
              <w:bidi w:val="0"/>
              <w:spacing w:before="0" w:after="283"/>
              <w:jc w:val="both"/>
              <w:rPr>
                <w:sz w:val="20"/>
              </w:rPr>
            </w:pPr>
            <w:r>
              <w:rPr>
                <w:sz w:val="20"/>
              </w:rPr>
              <w:t>Group CFO</w:t>
            </w:r>
          </w:p>
        </w:tc>
      </w:tr>
    </w:tbl>
    <w:p>
      <w:pPr>
        <w:pStyle w:val="TextBody"/>
        <w:bidi w:val="0"/>
        <w:ind w:left="2" w:right="0" w:hanging="0"/>
        <w:jc w:val="left"/>
        <w:rPr/>
      </w:pPr>
      <w:r>
        <w:rPr/>
        <w:t> </w:t>
      </w:r>
    </w:p>
    <w:p>
      <w:pPr>
        <w:pStyle w:val="TextBody"/>
        <w:bidi w:val="0"/>
        <w:ind w:left="2" w:right="0" w:hanging="0"/>
        <w:jc w:val="left"/>
        <w:rPr/>
      </w:pPr>
      <w:r>
        <w:rPr/>
        <w:t> </w:t>
      </w:r>
    </w:p>
    <w:p>
      <w:pPr>
        <w:pStyle w:val="TextBody"/>
        <w:bidi w:val="0"/>
        <w:ind w:left="2" w:right="0" w:hanging="0"/>
        <w:jc w:val="left"/>
        <w:rPr/>
      </w:pPr>
      <w:r>
        <w:rPr/>
        <w:t> </w:t>
      </w:r>
    </w:p>
    <w:p>
      <w:pPr>
        <w:pStyle w:val="TextBody"/>
        <w:bidi w:val="0"/>
        <w:spacing w:before="0" w:after="283"/>
        <w:jc w:val="left"/>
        <w:rPr/>
      </w:pPr>
      <w:r>
        <w:rPr/>
        <w:t> </w:t>
      </w:r>
    </w:p>
    <w:p>
      <w:pPr>
        <w:pStyle w:val="TextBody"/>
        <w:bidi w:val="0"/>
        <w:spacing w:before="60" w:after="60"/>
        <w:ind w:left="60" w:right="60" w:hanging="0"/>
        <w:jc w:val="left"/>
        <w:rPr>
          <w:bdr w:val="single" w:sz="24" w:space="1" w:color="000000"/>
        </w:rPr>
      </w:pPr>
      <w:r>
        <w:rPr>
          <w:bdr w:val="single" w:sz="24"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651</Words>
  <Characters>3552</Characters>
  <CharactersWithSpaces>4203</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