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Spuhler-Hoffmann Daniela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65" w:lineRule="auto"/>
        <w:rPr>
          <w:sz w:val="20"/>
          <w:szCs w:val="20"/>
          <w:color w:val="auto"/>
        </w:rPr>
      </w:pPr>
      <w:r>
        <w:rPr>
          <w:rFonts w:ascii="Times New Roman" w:cs="Times New Roman" w:eastAsia="Times New Roman" w:hAnsi="Times New Roman"/>
          <w:sz w:val="17"/>
          <w:szCs w:val="17"/>
          <w:color w:val="0000FF"/>
        </w:rPr>
        <w:t>C/O AEBI SCHMIDT HOLDING AG SCHULSTRASSE 4</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FRAUENFELD</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CH-8500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Aebi Schmidt Holding AG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AEBI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6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7,412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29,912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Restricted Shares reported herein are immediately vested, but remain subject to a three-year restriction on sale or transfer.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Goldbaum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for Daniela Spuhler-</w:t>
        <w:tab/>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Hoffmann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0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Jay Goldbaum and Dawn Mullaly as the undersigned’s true and lawful attorney-in-fact to:</w:t>
      </w:r>
    </w:p>
    <w:p>
      <w:pPr>
        <w:spacing w:after="0" w:line="164" w:lineRule="exact"/>
        <w:rPr>
          <w:sz w:val="20"/>
          <w:szCs w:val="20"/>
          <w:color w:val="auto"/>
        </w:rPr>
      </w:pPr>
    </w:p>
    <w:p>
      <w:pPr>
        <w:jc w:val="both"/>
        <w:ind w:left="640" w:hanging="314"/>
        <w:spacing w:after="0" w:line="269"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and/or beneficial owner of more than ten percent of any class of equity securities of Aebi Schmidt Holding AG (the “Company”), a Form ID, Forms 3, 4 and 5, and any other documents necessary to facilitate the filing of reports in accordance with Section 16(a) of the Securities Exchange Act and the rules thereunder;</w:t>
      </w:r>
    </w:p>
    <w:p>
      <w:pPr>
        <w:spacing w:after="0" w:line="1" w:lineRule="exact"/>
        <w:rPr>
          <w:rFonts w:ascii="Times New Roman" w:cs="Times New Roman" w:eastAsia="Times New Roman" w:hAnsi="Times New Roman"/>
          <w:sz w:val="17"/>
          <w:szCs w:val="17"/>
          <w:color w:val="auto"/>
        </w:rPr>
      </w:pPr>
    </w:p>
    <w:p>
      <w:pPr>
        <w:jc w:val="both"/>
        <w:ind w:left="640" w:hanging="314"/>
        <w:spacing w:after="0" w:line="24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ID or Forms 3, 4 or 5, complete and execute any amendment or amendments thereto, and file such forms with the SEC® and any stock exchange or similar authority; and</w:t>
      </w:r>
    </w:p>
    <w:p>
      <w:pPr>
        <w:jc w:val="both"/>
        <w:ind w:left="640" w:hanging="314"/>
        <w:spacing w:after="0" w:line="249"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in connection with the foregoing, including acting as administrator of the undersigned’s EDGAR Next account,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hereby grants to each attorney-in-fact full power and authority to do and perform any and every act and thing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December 2,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Daniela Spuhler-Hoffman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wp:posOffset>
            </wp:positionV>
            <wp:extent cx="1558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Daniela Spuhler-Hoffman</w:t>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76373" TargetMode="External"/><Relationship Id="rId14" Type="http://schemas.openxmlformats.org/officeDocument/2006/relationships/hyperlink" Target="http://www.sec.gov/cgi-bin/browse-edgar?action=getcompany&amp;CIK=0002048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2026-06-03T16:11:21Z</dcterms:created>
  <dcterms:modified xsi:type="dcterms:W3CDTF">2026-06-03T16:11:21Z</dcterms:modified>
</cp:coreProperties>
</file>